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B5166" w14:textId="77777777" w:rsidR="00C51207" w:rsidRPr="00C51207" w:rsidRDefault="00C51207" w:rsidP="00C51207">
      <w:pPr>
        <w:spacing w:after="0" w:line="240" w:lineRule="auto"/>
        <w:jc w:val="center"/>
        <w:rPr>
          <w:rFonts w:ascii="Times New Roman" w:hAnsi="Times New Roman" w:cs="Times New Roman"/>
          <w:b/>
          <w:bCs/>
          <w:sz w:val="28"/>
          <w:szCs w:val="28"/>
        </w:rPr>
      </w:pPr>
      <w:r w:rsidRPr="00C51207">
        <w:rPr>
          <w:rFonts w:ascii="Times New Roman" w:hAnsi="Times New Roman" w:cs="Times New Roman"/>
          <w:b/>
          <w:bCs/>
          <w:sz w:val="28"/>
          <w:szCs w:val="28"/>
        </w:rPr>
        <w:t xml:space="preserve">IMPLEMENTATION OF TUBERCULOSIS CONTROL POLICY </w:t>
      </w:r>
    </w:p>
    <w:p w14:paraId="79A812BC" w14:textId="1A34613B" w:rsidR="00F322CD" w:rsidRPr="009B4CE6" w:rsidRDefault="00C51207" w:rsidP="00C51207">
      <w:pPr>
        <w:spacing w:after="0" w:line="240" w:lineRule="auto"/>
        <w:jc w:val="center"/>
        <w:rPr>
          <w:rFonts w:ascii="Times New Roman" w:hAnsi="Times New Roman" w:cs="Times New Roman"/>
          <w:b/>
          <w:bCs/>
          <w:sz w:val="28"/>
          <w:szCs w:val="28"/>
        </w:rPr>
      </w:pPr>
      <w:r w:rsidRPr="00C51207">
        <w:rPr>
          <w:rFonts w:ascii="Times New Roman" w:hAnsi="Times New Roman" w:cs="Times New Roman"/>
          <w:b/>
          <w:bCs/>
          <w:sz w:val="28"/>
          <w:szCs w:val="28"/>
        </w:rPr>
        <w:t>IN PEKANBARU CITY</w:t>
      </w:r>
    </w:p>
    <w:p w14:paraId="57EC958E" w14:textId="26E73755" w:rsidR="00D94952" w:rsidRPr="009B4CE6" w:rsidRDefault="00D94952" w:rsidP="00C67A42">
      <w:pPr>
        <w:spacing w:after="0" w:line="240" w:lineRule="auto"/>
        <w:jc w:val="center"/>
        <w:rPr>
          <w:rFonts w:ascii="Times New Roman" w:hAnsi="Times New Roman" w:cs="Times New Roman"/>
          <w:b/>
          <w:bCs/>
          <w:sz w:val="28"/>
          <w:szCs w:val="28"/>
        </w:rPr>
      </w:pPr>
    </w:p>
    <w:p w14:paraId="65D0960E" w14:textId="1D90A1F2" w:rsidR="00430A99" w:rsidRDefault="00430A99" w:rsidP="00F94B51">
      <w:pPr>
        <w:spacing w:after="0" w:line="240" w:lineRule="auto"/>
        <w:jc w:val="center"/>
        <w:rPr>
          <w:rFonts w:ascii="Times New Roman" w:eastAsia="Times New Roman" w:hAnsi="Times New Roman" w:cs="Times New Roman"/>
          <w:b/>
          <w:bCs/>
          <w:color w:val="000000"/>
          <w:sz w:val="28"/>
          <w:szCs w:val="28"/>
        </w:rPr>
      </w:pPr>
    </w:p>
    <w:p w14:paraId="3FC1727F" w14:textId="77777777" w:rsidR="00225B25" w:rsidRDefault="00225B25" w:rsidP="00D716F7">
      <w:pPr>
        <w:spacing w:after="0" w:line="240" w:lineRule="auto"/>
        <w:jc w:val="center"/>
        <w:rPr>
          <w:rFonts w:ascii="Times New Roman" w:hAnsi="Times New Roman" w:cs="Times New Roman"/>
          <w:b/>
          <w:bCs/>
          <w:sz w:val="28"/>
          <w:szCs w:val="28"/>
        </w:rPr>
      </w:pPr>
    </w:p>
    <w:p w14:paraId="650FED08" w14:textId="6FD29C6F" w:rsidR="00FA5412" w:rsidRPr="00C67A42" w:rsidRDefault="00C51207" w:rsidP="001A49C3">
      <w:pPr>
        <w:spacing w:after="0" w:line="240" w:lineRule="auto"/>
        <w:jc w:val="center"/>
        <w:rPr>
          <w:rFonts w:ascii="Times New Roman" w:hAnsi="Times New Roman" w:cs="Times New Roman"/>
          <w:b/>
          <w:bCs/>
          <w:sz w:val="28"/>
          <w:szCs w:val="28"/>
        </w:rPr>
      </w:pPr>
      <w:r w:rsidRPr="00C51207">
        <w:rPr>
          <w:rFonts w:ascii="Times New Roman" w:hAnsi="Times New Roman" w:cs="Times New Roman"/>
          <w:b/>
          <w:bCs/>
          <w:sz w:val="28"/>
          <w:szCs w:val="28"/>
        </w:rPr>
        <w:t>IMPLEMENTASI KEBIJAKAN PENANGGULANGAN TUBERKULOSIS DI KOTA PEKANBARU</w:t>
      </w:r>
    </w:p>
    <w:p w14:paraId="27DDE142" w14:textId="385A9DF6" w:rsidR="00A958A8" w:rsidRDefault="00A958A8" w:rsidP="00A958A8">
      <w:pPr>
        <w:spacing w:after="0" w:line="240" w:lineRule="auto"/>
        <w:jc w:val="center"/>
        <w:rPr>
          <w:rFonts w:ascii="Times New Roman" w:hAnsi="Times New Roman" w:cs="Times New Roman"/>
          <w:b/>
        </w:rPr>
      </w:pPr>
    </w:p>
    <w:p w14:paraId="29ABB886" w14:textId="2F8EB461" w:rsidR="009A7090" w:rsidRDefault="009A7090" w:rsidP="00A81562">
      <w:pPr>
        <w:spacing w:after="0" w:line="240" w:lineRule="auto"/>
        <w:jc w:val="center"/>
        <w:rPr>
          <w:rFonts w:ascii="Times New Roman" w:hAnsi="Times New Roman" w:cs="Times New Roman"/>
          <w:b/>
        </w:rPr>
      </w:pPr>
    </w:p>
    <w:p w14:paraId="5CF2FC75" w14:textId="77777777" w:rsidR="00E30029" w:rsidRDefault="00E30029" w:rsidP="00A81562">
      <w:pPr>
        <w:spacing w:after="0" w:line="240" w:lineRule="auto"/>
        <w:jc w:val="center"/>
        <w:rPr>
          <w:rFonts w:ascii="Times New Roman" w:hAnsi="Times New Roman" w:cs="Times New Roman"/>
          <w:b/>
        </w:rPr>
      </w:pPr>
    </w:p>
    <w:p w14:paraId="75DC267E" w14:textId="49C99F76" w:rsidR="0040100A" w:rsidRPr="004D6C3E" w:rsidRDefault="00C51207" w:rsidP="00BD20E7">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C51207">
        <w:rPr>
          <w:rFonts w:ascii="Times New Roman" w:eastAsia="Times New Roman" w:hAnsi="Times New Roman" w:cs="Times New Roman"/>
          <w:b/>
          <w:color w:val="000000"/>
          <w:sz w:val="24"/>
          <w:szCs w:val="24"/>
        </w:rPr>
        <w:t>Rahmawani</w:t>
      </w:r>
      <w:r w:rsidRPr="00C51207">
        <w:rPr>
          <w:rFonts w:ascii="Times New Roman" w:eastAsia="Times New Roman" w:hAnsi="Times New Roman" w:cs="Times New Roman"/>
          <w:b/>
          <w:color w:val="000000"/>
          <w:sz w:val="24"/>
          <w:szCs w:val="24"/>
          <w:vertAlign w:val="superscript"/>
        </w:rPr>
        <w:t>1*</w:t>
      </w:r>
      <w:r>
        <w:rPr>
          <w:rFonts w:ascii="Times New Roman" w:eastAsia="Times New Roman" w:hAnsi="Times New Roman" w:cs="Times New Roman"/>
          <w:b/>
          <w:color w:val="000000"/>
          <w:sz w:val="24"/>
          <w:szCs w:val="24"/>
        </w:rPr>
        <w:t>,</w:t>
      </w:r>
      <w:r w:rsidRPr="00C51207">
        <w:rPr>
          <w:rFonts w:ascii="Times New Roman" w:eastAsia="Times New Roman" w:hAnsi="Times New Roman" w:cs="Times New Roman"/>
          <w:b/>
          <w:color w:val="000000"/>
          <w:sz w:val="24"/>
          <w:szCs w:val="24"/>
        </w:rPr>
        <w:t xml:space="preserve"> Hafzana Bedasari</w:t>
      </w:r>
      <w:r w:rsidRPr="00C51207">
        <w:rPr>
          <w:rFonts w:ascii="Times New Roman" w:eastAsia="Times New Roman" w:hAnsi="Times New Roman" w:cs="Times New Roman"/>
          <w:b/>
          <w:color w:val="000000"/>
          <w:sz w:val="24"/>
          <w:szCs w:val="24"/>
          <w:vertAlign w:val="superscript"/>
        </w:rPr>
        <w:t>2</w:t>
      </w:r>
    </w:p>
    <w:p w14:paraId="19BD9D8C" w14:textId="77777777" w:rsidR="0040100A" w:rsidRPr="00126196" w:rsidRDefault="0040100A" w:rsidP="0040100A">
      <w:pPr>
        <w:pBdr>
          <w:top w:val="nil"/>
          <w:left w:val="nil"/>
          <w:bottom w:val="nil"/>
          <w:right w:val="nil"/>
          <w:between w:val="nil"/>
        </w:pBdr>
        <w:spacing w:after="0" w:line="240" w:lineRule="auto"/>
        <w:jc w:val="center"/>
        <w:rPr>
          <w:rFonts w:asciiTheme="majorBidi" w:eastAsia="Times New Roman" w:hAnsiTheme="majorBidi" w:cstheme="majorBidi"/>
          <w:color w:val="FF0000"/>
          <w:sz w:val="20"/>
          <w:szCs w:val="20"/>
        </w:rPr>
      </w:pPr>
    </w:p>
    <w:p w14:paraId="14905FE3" w14:textId="50B2038C" w:rsidR="00CF46EF" w:rsidRPr="00EE5984" w:rsidRDefault="00CF46EF" w:rsidP="00B6679C">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0"/>
          <w:szCs w:val="20"/>
        </w:rPr>
      </w:pPr>
      <w:r w:rsidRPr="00EE5984">
        <w:rPr>
          <w:rFonts w:ascii="Times New Roman" w:eastAsia="Times New Roman" w:hAnsi="Times New Roman" w:cs="Times New Roman"/>
          <w:color w:val="000000"/>
          <w:sz w:val="20"/>
          <w:szCs w:val="20"/>
          <w:vertAlign w:val="superscript"/>
        </w:rPr>
        <w:t>1</w:t>
      </w:r>
      <w:r w:rsidR="005F0E9E" w:rsidRPr="00EE5984">
        <w:rPr>
          <w:rFonts w:ascii="Times New Roman" w:eastAsia="Times New Roman" w:hAnsi="Times New Roman" w:cs="Times New Roman"/>
          <w:color w:val="000000"/>
          <w:sz w:val="20"/>
          <w:szCs w:val="20"/>
          <w:vertAlign w:val="superscript"/>
        </w:rPr>
        <w:t>*</w:t>
      </w:r>
      <w:r w:rsidR="00EE5984" w:rsidRPr="00EE5984">
        <w:rPr>
          <w:rFonts w:ascii="Times New Roman" w:hAnsi="Times New Roman" w:cs="Times New Roman"/>
          <w:sz w:val="20"/>
          <w:szCs w:val="20"/>
        </w:rPr>
        <w:t xml:space="preserve"> </w:t>
      </w:r>
      <w:r w:rsidR="00EE5984" w:rsidRPr="00EE5984">
        <w:rPr>
          <w:rFonts w:ascii="Times New Roman" w:eastAsia="Times New Roman" w:hAnsi="Times New Roman" w:cs="Times New Roman"/>
          <w:color w:val="000000"/>
          <w:sz w:val="20"/>
          <w:szCs w:val="20"/>
        </w:rPr>
        <w:t>Universitas Riau</w:t>
      </w:r>
      <w:r w:rsidRPr="00EE5984">
        <w:rPr>
          <w:rFonts w:ascii="Times New Roman" w:eastAsia="Times New Roman" w:hAnsi="Times New Roman" w:cs="Times New Roman"/>
          <w:color w:val="000000"/>
          <w:sz w:val="20"/>
          <w:szCs w:val="20"/>
        </w:rPr>
        <w:t xml:space="preserve">, Email: </w:t>
      </w:r>
      <w:hyperlink r:id="rId9" w:history="1">
        <w:r w:rsidR="00EE5984" w:rsidRPr="00EE5984">
          <w:rPr>
            <w:rStyle w:val="Hyperlink"/>
            <w:rFonts w:ascii="Times New Roman" w:hAnsi="Times New Roman" w:cs="Times New Roman"/>
            <w:sz w:val="20"/>
            <w:szCs w:val="20"/>
          </w:rPr>
          <w:t>Rahmawani1196@student.unri.ac.id</w:t>
        </w:r>
      </w:hyperlink>
    </w:p>
    <w:p w14:paraId="214A10A5" w14:textId="5C76B2B0" w:rsidR="00314810" w:rsidRPr="00B6679C" w:rsidRDefault="00A97DC0" w:rsidP="00B6679C">
      <w:pPr>
        <w:spacing w:after="0" w:line="240" w:lineRule="auto"/>
        <w:jc w:val="center"/>
        <w:rPr>
          <w:rFonts w:ascii="Times New Roman" w:hAnsi="Times New Roman" w:cs="Times New Roman"/>
          <w:sz w:val="20"/>
          <w:szCs w:val="20"/>
        </w:rPr>
      </w:pPr>
      <w:r w:rsidRPr="00EE5984">
        <w:rPr>
          <w:rFonts w:ascii="Times New Roman" w:eastAsia="Times New Roman" w:hAnsi="Times New Roman" w:cs="Times New Roman"/>
          <w:color w:val="000000"/>
          <w:sz w:val="20"/>
          <w:szCs w:val="20"/>
          <w:vertAlign w:val="superscript"/>
        </w:rPr>
        <w:t>2</w:t>
      </w:r>
      <w:r w:rsidRPr="00EE5984">
        <w:rPr>
          <w:rFonts w:ascii="Times New Roman" w:eastAsia="Times New Roman" w:hAnsi="Times New Roman" w:cs="Times New Roman"/>
          <w:color w:val="000000"/>
          <w:sz w:val="20"/>
          <w:szCs w:val="20"/>
        </w:rPr>
        <w:t xml:space="preserve">Universitas </w:t>
      </w:r>
      <w:r w:rsidR="00EE5984" w:rsidRPr="00EE5984">
        <w:rPr>
          <w:rFonts w:ascii="Times New Roman" w:eastAsia="Times New Roman" w:hAnsi="Times New Roman" w:cs="Times New Roman"/>
          <w:color w:val="000000"/>
          <w:sz w:val="20"/>
          <w:szCs w:val="20"/>
        </w:rPr>
        <w:t>Riau</w:t>
      </w:r>
      <w:r w:rsidRPr="00EE5984">
        <w:rPr>
          <w:rFonts w:ascii="Times New Roman" w:eastAsia="Times New Roman" w:hAnsi="Times New Roman" w:cs="Times New Roman"/>
          <w:color w:val="000000"/>
          <w:sz w:val="20"/>
          <w:szCs w:val="20"/>
        </w:rPr>
        <w:t xml:space="preserve">, Email: </w:t>
      </w:r>
      <w:hyperlink r:id="rId10" w:history="1">
        <w:r w:rsidR="00EE5984" w:rsidRPr="00EE5984">
          <w:rPr>
            <w:rStyle w:val="Hyperlink"/>
            <w:rFonts w:ascii="Times New Roman" w:hAnsi="Times New Roman" w:cs="Times New Roman"/>
            <w:sz w:val="20"/>
            <w:szCs w:val="20"/>
          </w:rPr>
          <w:t>hafzana@lecturer.unri.ac.id</w:t>
        </w:r>
      </w:hyperlink>
    </w:p>
    <w:p w14:paraId="3CF4040E" w14:textId="77777777" w:rsidR="006926AB" w:rsidRPr="007C298D" w:rsidRDefault="006926AB" w:rsidP="00746875">
      <w:pPr>
        <w:spacing w:after="0" w:line="240" w:lineRule="auto"/>
        <w:jc w:val="center"/>
        <w:rPr>
          <w:rFonts w:ascii="Times New Roman" w:hAnsi="Times New Roman" w:cs="Times New Roman"/>
          <w:sz w:val="20"/>
          <w:szCs w:val="20"/>
        </w:rPr>
      </w:pPr>
    </w:p>
    <w:p w14:paraId="196B7D9A" w14:textId="12F9099F" w:rsidR="00A253DF" w:rsidRPr="00B6679C" w:rsidRDefault="0040100A" w:rsidP="005F0E9E">
      <w:pPr>
        <w:spacing w:after="0" w:line="240" w:lineRule="auto"/>
        <w:jc w:val="center"/>
        <w:rPr>
          <w:rFonts w:ascii="Times New Roman" w:eastAsia="Times New Roman" w:hAnsi="Times New Roman" w:cs="Times New Roman"/>
          <w:color w:val="000000"/>
          <w:sz w:val="20"/>
          <w:szCs w:val="20"/>
        </w:rPr>
      </w:pPr>
      <w:r w:rsidRPr="00B6679C">
        <w:rPr>
          <w:rFonts w:ascii="Times New Roman" w:eastAsia="Times New Roman" w:hAnsi="Times New Roman" w:cs="Times New Roman"/>
          <w:color w:val="000000"/>
          <w:sz w:val="20"/>
          <w:szCs w:val="20"/>
        </w:rPr>
        <w:t xml:space="preserve">*email koresponden: </w:t>
      </w:r>
      <w:hyperlink r:id="rId11" w:history="1">
        <w:r w:rsidR="00EE5984" w:rsidRPr="00EE5984">
          <w:rPr>
            <w:rStyle w:val="Hyperlink"/>
            <w:rFonts w:ascii="Times New Roman" w:hAnsi="Times New Roman" w:cs="Times New Roman"/>
            <w:sz w:val="20"/>
            <w:szCs w:val="20"/>
          </w:rPr>
          <w:t>Rahmawani1196@student.unri.ac.id</w:t>
        </w:r>
      </w:hyperlink>
      <w:r w:rsidR="0005754B" w:rsidRPr="00B6679C">
        <w:rPr>
          <w:rFonts w:ascii="Times New Roman" w:eastAsia="Times New Roman" w:hAnsi="Times New Roman" w:cs="Times New Roman"/>
          <w:color w:val="000000"/>
          <w:sz w:val="20"/>
          <w:szCs w:val="20"/>
        </w:rPr>
        <w:t xml:space="preserve"> </w:t>
      </w:r>
    </w:p>
    <w:p w14:paraId="13E64EAB" w14:textId="77777777" w:rsidR="005C24FA" w:rsidRPr="005C24FA" w:rsidRDefault="005C24FA" w:rsidP="00A253DF">
      <w:pPr>
        <w:spacing w:after="0" w:line="240" w:lineRule="auto"/>
        <w:rPr>
          <w:rFonts w:ascii="Times New Roman" w:hAnsi="Times New Roman" w:cs="Times New Roman"/>
          <w:sz w:val="20"/>
          <w:szCs w:val="20"/>
        </w:rPr>
      </w:pPr>
    </w:p>
    <w:p w14:paraId="0462A0CC" w14:textId="53D27383" w:rsidR="00E368DF" w:rsidRPr="00FA29FA" w:rsidRDefault="00E368DF" w:rsidP="00291A95">
      <w:pPr>
        <w:pBdr>
          <w:top w:val="nil"/>
          <w:left w:val="nil"/>
          <w:bottom w:val="nil"/>
          <w:right w:val="nil"/>
          <w:between w:val="nil"/>
        </w:pBdr>
        <w:spacing w:after="0" w:line="240" w:lineRule="auto"/>
        <w:jc w:val="center"/>
        <w:rPr>
          <w:rFonts w:asciiTheme="majorBidi" w:hAnsiTheme="majorBidi" w:cstheme="majorBidi"/>
          <w:color w:val="0000FF"/>
          <w:sz w:val="20"/>
          <w:szCs w:val="20"/>
          <w:u w:val="single"/>
        </w:rPr>
      </w:pPr>
      <w:r w:rsidRPr="00FA29FA">
        <w:rPr>
          <w:rFonts w:asciiTheme="majorBidi" w:hAnsiTheme="majorBidi" w:cstheme="majorBidi"/>
          <w:sz w:val="20"/>
          <w:szCs w:val="20"/>
        </w:rPr>
        <w:t xml:space="preserve">DOI: </w:t>
      </w:r>
      <w:hyperlink r:id="rId12" w:history="1">
        <w:r w:rsidR="00C52E34" w:rsidRPr="00283901">
          <w:rPr>
            <w:rStyle w:val="Hyperlink"/>
            <w:rFonts w:asciiTheme="majorBidi" w:hAnsiTheme="majorBidi" w:cstheme="majorBidi"/>
            <w:iCs/>
            <w:sz w:val="20"/>
            <w:szCs w:val="20"/>
          </w:rPr>
          <w:t>https://doi.org/10.62567/micjo.v3i4.3392</w:t>
        </w:r>
      </w:hyperlink>
    </w:p>
    <w:p w14:paraId="512F37FB" w14:textId="77777777" w:rsidR="008C4354" w:rsidRDefault="008C4354" w:rsidP="00F872F0">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14:paraId="5B0F96D7" w14:textId="77777777" w:rsidR="0092617B" w:rsidRDefault="0092617B" w:rsidP="00F872F0">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14:paraId="1752FA1B" w14:textId="77777777" w:rsidR="0092617B" w:rsidRDefault="0092617B" w:rsidP="00F872F0">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bl>
      <w:tblPr>
        <w:tblStyle w:val="a"/>
        <w:tblW w:w="9357" w:type="dxa"/>
        <w:tblInd w:w="-426" w:type="dxa"/>
        <w:tblBorders>
          <w:top w:val="nil"/>
          <w:left w:val="nil"/>
          <w:bottom w:val="nil"/>
          <w:right w:val="nil"/>
          <w:insideH w:val="nil"/>
          <w:insideV w:val="nil"/>
        </w:tblBorders>
        <w:tblLayout w:type="fixed"/>
        <w:tblLook w:val="0400" w:firstRow="0" w:lastRow="0" w:firstColumn="0" w:lastColumn="0" w:noHBand="0" w:noVBand="1"/>
      </w:tblPr>
      <w:tblGrid>
        <w:gridCol w:w="255"/>
        <w:gridCol w:w="9102"/>
      </w:tblGrid>
      <w:tr w:rsidR="008A281F" w:rsidRPr="00AD2844" w14:paraId="3271BD57" w14:textId="77777777" w:rsidTr="00771854">
        <w:trPr>
          <w:trHeight w:val="20"/>
        </w:trPr>
        <w:tc>
          <w:tcPr>
            <w:tcW w:w="255" w:type="dxa"/>
          </w:tcPr>
          <w:p w14:paraId="0126A348" w14:textId="77777777" w:rsidR="008A281F" w:rsidRPr="00AD2844" w:rsidRDefault="008A281F" w:rsidP="00EF0514">
            <w:pPr>
              <w:pBdr>
                <w:top w:val="nil"/>
                <w:left w:val="nil"/>
                <w:bottom w:val="nil"/>
                <w:right w:val="nil"/>
                <w:between w:val="nil"/>
              </w:pBdr>
              <w:rPr>
                <w:rFonts w:ascii="Times New Roman" w:eastAsia="Times New Roman" w:hAnsi="Times New Roman" w:cs="Times New Roman"/>
                <w:color w:val="000000"/>
              </w:rPr>
            </w:pPr>
          </w:p>
        </w:tc>
        <w:tc>
          <w:tcPr>
            <w:tcW w:w="9102" w:type="dxa"/>
          </w:tcPr>
          <w:p w14:paraId="4252AAAB" w14:textId="77777777" w:rsidR="008A281F" w:rsidRPr="00AD2844" w:rsidRDefault="008A281F" w:rsidP="00ED52B1">
            <w:pPr>
              <w:pBdr>
                <w:top w:val="nil"/>
                <w:left w:val="nil"/>
                <w:bottom w:val="nil"/>
                <w:right w:val="nil"/>
                <w:between w:val="nil"/>
              </w:pBdr>
              <w:jc w:val="center"/>
              <w:rPr>
                <w:rFonts w:ascii="Times New Roman" w:eastAsia="Times New Roman" w:hAnsi="Times New Roman" w:cs="Times New Roman"/>
                <w:b/>
                <w:color w:val="000000"/>
              </w:rPr>
            </w:pPr>
            <w:r w:rsidRPr="00AD2844">
              <w:rPr>
                <w:rFonts w:ascii="Times New Roman" w:eastAsia="Times New Roman" w:hAnsi="Times New Roman" w:cs="Times New Roman"/>
                <w:b/>
                <w:color w:val="000000"/>
              </w:rPr>
              <w:t>Abstract</w:t>
            </w:r>
          </w:p>
          <w:p w14:paraId="6785FA78" w14:textId="43FD3CE5" w:rsidR="0076017B" w:rsidRDefault="00C52E34" w:rsidP="0076017B">
            <w:pPr>
              <w:jc w:val="both"/>
              <w:rPr>
                <w:rFonts w:ascii="Times New Roman" w:hAnsi="Times New Roman" w:cs="Times New Roman"/>
              </w:rPr>
            </w:pPr>
            <w:r w:rsidRPr="00C52E34">
              <w:rPr>
                <w:rFonts w:ascii="Times New Roman" w:hAnsi="Times New Roman" w:cs="Times New Roman"/>
              </w:rPr>
              <w:t>Tuberculosis (TB) remains a serious public health problem in Pekanbaru City. The high number of TB cases has prompted the local government to implement a TB control policy through Pekanbaru Mayor Regulation Number 30 of 2023. This study aims to analyze the implementation of the tuberculosis control policy in Pekanbaru City using the George C. Edward III policy implementation model, which includes aspects of communication, resources, disposition, and bureaucratic structure. The findings of this study indicate that the implementation of the tuberculosis control policy in Pekanbaru City has generally been proceeding as intended; however, its implementation remains suboptimal. In terms of communication, the transmission process, clarity, and consistency of information have been implemented through various media such as official letters, WhatsApp, Zoom Meetings, and the Tuberculosis Information System (SITB), allowing for effective coordination between program implementers. In terms of resources, the availability of health workers, cadres, and supporting communities is considered adequate, although there are still disparities in the number of personnel in some health facilities. In addition, supporting facilities such as anti-tuberculosis drugs, laboratories, diagnostic tools, and the SITB have supported program implementation. The disposition of implementers demonstrates a strong commitment to program implementation, while the bureaucratic structure is supported by clear standard operating procedures (SOPs) and integrated cross-sector coordination. However, this study also identified several obstacles, such as low patient compliance with treatment, persistent public stigma against TB, limited staffing in some health facilities, and uneven community outreach. Therefore, strengthening public education, increasing human resource capacity, and optimizing cross-sector coordination are necessary to support the achievement of the tuberculosis elimination target in Pekanbaru City.</w:t>
            </w:r>
          </w:p>
          <w:p w14:paraId="187EAAE4" w14:textId="77777777" w:rsidR="00C52E34" w:rsidRPr="0076017B" w:rsidRDefault="00C52E34" w:rsidP="0076017B">
            <w:pPr>
              <w:jc w:val="both"/>
              <w:rPr>
                <w:rFonts w:ascii="Times New Roman" w:eastAsia="Times New Roman" w:hAnsi="Times New Roman" w:cs="Times New Roman"/>
                <w:lang w:val="id-ID" w:eastAsia="id-ID"/>
              </w:rPr>
            </w:pPr>
          </w:p>
          <w:p w14:paraId="184F3A06" w14:textId="009F7FD5" w:rsidR="00C82F88" w:rsidRPr="00771854" w:rsidRDefault="008A281F" w:rsidP="00771854">
            <w:pPr>
              <w:jc w:val="both"/>
              <w:rPr>
                <w:color w:val="000000"/>
              </w:rPr>
            </w:pPr>
            <w:r w:rsidRPr="00195495">
              <w:rPr>
                <w:rFonts w:ascii="Times New Roman" w:eastAsia="Times New Roman" w:hAnsi="Times New Roman" w:cs="Times New Roman"/>
                <w:b/>
                <w:iCs/>
                <w:color w:val="000000"/>
              </w:rPr>
              <w:t>Keywords</w:t>
            </w:r>
            <w:r w:rsidR="00B20D5D" w:rsidRPr="00195495">
              <w:rPr>
                <w:rFonts w:ascii="Times New Roman" w:eastAsia="Times New Roman" w:hAnsi="Times New Roman" w:cs="Times New Roman"/>
                <w:b/>
                <w:iCs/>
                <w:color w:val="000000"/>
              </w:rPr>
              <w:t xml:space="preserve"> </w:t>
            </w:r>
            <w:r w:rsidR="00195495" w:rsidRPr="00195495">
              <w:rPr>
                <w:rFonts w:ascii="Times New Roman" w:eastAsia="Times New Roman" w:hAnsi="Times New Roman" w:cs="Times New Roman"/>
                <w:b/>
                <w:iCs/>
                <w:color w:val="000000"/>
              </w:rPr>
              <w:t>:</w:t>
            </w:r>
            <w:r w:rsidR="00B93653" w:rsidRPr="00195495">
              <w:rPr>
                <w:rFonts w:ascii="Times New Roman" w:eastAsia="Times New Roman" w:hAnsi="Times New Roman" w:cs="Times New Roman"/>
                <w:bCs/>
                <w:iCs/>
                <w:color w:val="000000"/>
              </w:rPr>
              <w:t xml:space="preserve"> </w:t>
            </w:r>
            <w:r w:rsidR="00C52E34" w:rsidRPr="00C52E34">
              <w:rPr>
                <w:rFonts w:ascii="Times New Roman" w:eastAsia="Times New Roman" w:hAnsi="Times New Roman" w:cs="Times New Roman"/>
                <w:bCs/>
                <w:iCs/>
                <w:color w:val="000000"/>
              </w:rPr>
              <w:t>Policy Implementation, Tuberculosis, Control</w:t>
            </w:r>
            <w:r w:rsidR="00C52E34">
              <w:rPr>
                <w:rFonts w:ascii="Times New Roman" w:eastAsia="Times New Roman" w:hAnsi="Times New Roman" w:cs="Times New Roman"/>
                <w:bCs/>
                <w:iCs/>
                <w:color w:val="000000"/>
              </w:rPr>
              <w:t>.</w:t>
            </w:r>
          </w:p>
        </w:tc>
      </w:tr>
    </w:tbl>
    <w:p w14:paraId="5BA6C4D4" w14:textId="77777777" w:rsidR="00B93653" w:rsidRDefault="00B93653" w:rsidP="008A281F">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p>
    <w:p w14:paraId="1892A335" w14:textId="77777777" w:rsidR="00C52E34" w:rsidRDefault="00C52E34" w:rsidP="008A281F">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p>
    <w:p w14:paraId="6E01849F" w14:textId="77777777" w:rsidR="00B93653" w:rsidRDefault="00B93653" w:rsidP="008A281F">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p>
    <w:p w14:paraId="6444D19F" w14:textId="77777777" w:rsidR="00B93653" w:rsidRDefault="00B93653" w:rsidP="008A281F">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p>
    <w:p w14:paraId="307895F0" w14:textId="4B49AB7E" w:rsidR="008A281F" w:rsidRPr="00AD2844" w:rsidRDefault="008A281F" w:rsidP="008A281F">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AD2844">
        <w:rPr>
          <w:rFonts w:ascii="Times New Roman" w:eastAsia="Times New Roman" w:hAnsi="Times New Roman" w:cs="Times New Roman"/>
          <w:b/>
          <w:color w:val="000000"/>
        </w:rPr>
        <w:lastRenderedPageBreak/>
        <w:t>Abstrak</w:t>
      </w:r>
    </w:p>
    <w:p w14:paraId="30350ABD" w14:textId="77777777" w:rsidR="00DB0FF1" w:rsidRPr="00BF35AD" w:rsidRDefault="00DB0FF1" w:rsidP="00F872F0">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14:paraId="7A90E8A8" w14:textId="77777777" w:rsidR="00C52E34" w:rsidRPr="00C52E34" w:rsidRDefault="00C52E34" w:rsidP="00C52E34">
      <w:pPr>
        <w:spacing w:after="0" w:line="240" w:lineRule="auto"/>
        <w:jc w:val="both"/>
        <w:rPr>
          <w:rFonts w:ascii="Times New Roman" w:eastAsia="Times New Roman" w:hAnsi="Times New Roman" w:cs="Times New Roman"/>
        </w:rPr>
      </w:pPr>
      <w:r w:rsidRPr="00C52E34">
        <w:rPr>
          <w:rFonts w:ascii="Times New Roman" w:eastAsia="Times New Roman" w:hAnsi="Times New Roman" w:cs="Times New Roman"/>
        </w:rPr>
        <w:t xml:space="preserve">Tuberkulosis (TB) masih menjadi salah satu permasalahan kesehatan masyarakat yang serius di Kota Pekanbaru. Tingginya jumlah kasus TB mendorong pemerintah daerah untuk mengimplementasikan kebijakan penanggulangan TB melalui Peraturan Wali Kota Pekanbaru Nomor 30 Tahun 2023. Penelitian ini bertujuan untuk menganalisis implementasi kebijakan penanggulangan tuberkulosis di Kota Pekanbaru dengan menggunakan model implementasi kebijakan George C. Edward III yang meliputi aspek komunikasi, sumber daya, disposisi, sertastruktur birokrasi. Hasil penelitian menunjukkan bahwasanya implementasi kebijakan penanggulangan TB di Kota Pekanbaru secara umum telah </w:t>
      </w:r>
      <w:r w:rsidRPr="00C52E34">
        <w:rPr>
          <w:rFonts w:ascii="Times New Roman" w:hAnsi="Times New Roman" w:cs="Times New Roman"/>
        </w:rPr>
        <w:t>telah berjalan namun belum optimal.</w:t>
      </w:r>
      <w:r w:rsidRPr="00C52E34">
        <w:rPr>
          <w:rFonts w:ascii="Times New Roman" w:eastAsia="Times New Roman" w:hAnsi="Times New Roman" w:cs="Times New Roman"/>
        </w:rPr>
        <w:t xml:space="preserve"> Pada aspek komunikasi, proses transmisi, kejelasan, serta konsistensi informasi telah terlaksana melalui berbagai media seperti surat resmi, </w:t>
      </w:r>
      <w:r w:rsidRPr="00C52E34">
        <w:rPr>
          <w:rFonts w:ascii="Times New Roman" w:eastAsia="Times New Roman" w:hAnsi="Times New Roman" w:cs="Times New Roman"/>
          <w:i/>
          <w:iCs/>
        </w:rPr>
        <w:t>WhatsApp</w:t>
      </w:r>
      <w:r w:rsidRPr="00C52E34">
        <w:rPr>
          <w:rFonts w:ascii="Times New Roman" w:eastAsia="Times New Roman" w:hAnsi="Times New Roman" w:cs="Times New Roman"/>
        </w:rPr>
        <w:t xml:space="preserve">, </w:t>
      </w:r>
      <w:r w:rsidRPr="00C52E34">
        <w:rPr>
          <w:rFonts w:ascii="Times New Roman" w:eastAsia="Times New Roman" w:hAnsi="Times New Roman" w:cs="Times New Roman"/>
          <w:i/>
          <w:iCs/>
        </w:rPr>
        <w:t>Zoom Meeting</w:t>
      </w:r>
      <w:r w:rsidRPr="00C52E34">
        <w:rPr>
          <w:rFonts w:ascii="Times New Roman" w:eastAsia="Times New Roman" w:hAnsi="Times New Roman" w:cs="Times New Roman"/>
        </w:rPr>
        <w:t>, serta Sistem Informasi Tuberkulosis (SITB), sehingga koordinasi antar pelaksana program dapat berjalan efektif. Pada aspek sumber daya, ketersediaan tenaga kesehatan, kader, serta komunitas pendukung dinilai cukup memadai meskipun masih terdapat ketimpangan jumlah petugas pada beberapa fasilitas kesehatan. Selain itu, fasilitas penunjang seperti obat anti tuberkulosis, laboratorium, alat diagnostik, serta SITB telah mendukung eksekusi program. Disposisi pelaksana menunjukkan adanya komitmen yang baik dalam menjalankan program, sedangkan struktur birokrasi telah didukung oleh SOP yang jelas sertakoordinasi lintas sektor yang terintegrasi. Meskipun demikian, penelitian ini juga menemukan beberapa hambatan, seperti rendahnya kepatuhan pasien dalam menjalani pengobatan, masih adanya stigma masyarakat terhadap TB, keterbatasan tenaga pada beberapa fasilitas kesehatan, serta belum meratanya sosialisasi kepada masyarakat. Oleh karena itu, diperlukan penguatan edukasi masyarakat, peningkatan kapasitas sumber daya manusia, serta optimalisasi koordinasi lintas sektor guna mendukung pencapaian target eliminasi tuberkulosis di Kota Pekanbaru.</w:t>
      </w:r>
    </w:p>
    <w:p w14:paraId="58248672" w14:textId="0D5069AD" w:rsidR="0076017B" w:rsidRDefault="0076017B" w:rsidP="00B00EB6">
      <w:pPr>
        <w:spacing w:after="0" w:line="240" w:lineRule="auto"/>
        <w:jc w:val="both"/>
        <w:rPr>
          <w:rFonts w:ascii="Times New Roman" w:eastAsia="Times New Roman" w:hAnsi="Times New Roman" w:cs="Times New Roman"/>
          <w:lang w:val="en-ID"/>
        </w:rPr>
      </w:pPr>
    </w:p>
    <w:p w14:paraId="0C7FE0EB" w14:textId="005E1CE0" w:rsidR="00040790" w:rsidRDefault="00B11B20" w:rsidP="00733558">
      <w:pPr>
        <w:spacing w:after="0" w:line="240" w:lineRule="auto"/>
        <w:jc w:val="both"/>
        <w:rPr>
          <w:rFonts w:ascii="Times New Roman" w:eastAsia="Times New Roman" w:hAnsi="Times New Roman" w:cs="Times New Roman"/>
          <w:bCs/>
          <w:szCs w:val="24"/>
          <w:lang w:val="en-ID"/>
        </w:rPr>
      </w:pPr>
      <w:r w:rsidRPr="00B64AA8">
        <w:rPr>
          <w:rFonts w:ascii="Times New Roman" w:eastAsia="Times New Roman" w:hAnsi="Times New Roman" w:cs="Times New Roman"/>
          <w:b/>
        </w:rPr>
        <w:t>Kata Kunci</w:t>
      </w:r>
      <w:r w:rsidR="00126C29">
        <w:rPr>
          <w:rFonts w:ascii="Times New Roman" w:eastAsia="Times New Roman" w:hAnsi="Times New Roman" w:cs="Times New Roman"/>
          <w:b/>
        </w:rPr>
        <w:t xml:space="preserve"> </w:t>
      </w:r>
      <w:r w:rsidR="003F147A" w:rsidRPr="00B64AA8">
        <w:rPr>
          <w:rFonts w:ascii="Times New Roman" w:eastAsia="Times New Roman" w:hAnsi="Times New Roman" w:cs="Times New Roman"/>
          <w:b/>
        </w:rPr>
        <w:t>:</w:t>
      </w:r>
      <w:r w:rsidR="00C758DB" w:rsidRPr="00B64AA8">
        <w:rPr>
          <w:rFonts w:ascii="Times New Roman" w:eastAsia="Times New Roman" w:hAnsi="Times New Roman" w:cs="Times New Roman"/>
          <w:b/>
        </w:rPr>
        <w:t xml:space="preserve"> </w:t>
      </w:r>
      <w:r w:rsidR="00C52E34" w:rsidRPr="00C52E34">
        <w:rPr>
          <w:rFonts w:ascii="Times New Roman" w:eastAsia="Times New Roman" w:hAnsi="Times New Roman" w:cs="Times New Roman"/>
          <w:bCs/>
        </w:rPr>
        <w:t>Implementasi Kebijakan, Tuberkulosis, Penanggulangan.</w:t>
      </w:r>
    </w:p>
    <w:p w14:paraId="3009F5BC" w14:textId="77777777" w:rsidR="00C46499" w:rsidRDefault="00C46499" w:rsidP="00733558">
      <w:pPr>
        <w:spacing w:after="0" w:line="240" w:lineRule="auto"/>
        <w:jc w:val="both"/>
        <w:rPr>
          <w:rFonts w:ascii="Times New Roman" w:eastAsia="Times New Roman" w:hAnsi="Times New Roman" w:cs="Times New Roman"/>
          <w:bCs/>
        </w:rPr>
      </w:pPr>
    </w:p>
    <w:p w14:paraId="222E502C" w14:textId="3C8624D6" w:rsidR="00BE227E" w:rsidRPr="00CB2A3D" w:rsidRDefault="007C5C4E" w:rsidP="00DB0A4F">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C4B16">
        <w:rPr>
          <w:rFonts w:ascii="Times New Roman" w:eastAsia="Times New Roman" w:hAnsi="Times New Roman" w:cs="Times New Roman"/>
          <w:b/>
          <w:color w:val="000000"/>
          <w:sz w:val="24"/>
          <w:szCs w:val="24"/>
        </w:rPr>
        <w:t>INTRODUCTION</w:t>
      </w:r>
    </w:p>
    <w:p w14:paraId="63227FA4" w14:textId="2BD0A48F" w:rsidR="00C52E34" w:rsidRPr="00C52E34" w:rsidRDefault="00C52E34" w:rsidP="00C52E34">
      <w:pPr>
        <w:spacing w:after="0" w:line="240" w:lineRule="auto"/>
        <w:ind w:firstLine="567"/>
        <w:jc w:val="both"/>
        <w:rPr>
          <w:rFonts w:asciiTheme="majorBidi" w:hAnsiTheme="majorBidi" w:cstheme="majorBidi"/>
          <w:color w:val="1F1F1F"/>
        </w:rPr>
      </w:pPr>
      <w:r w:rsidRPr="00C52E34">
        <w:rPr>
          <w:rFonts w:asciiTheme="majorBidi" w:hAnsiTheme="majorBidi" w:cstheme="majorBidi"/>
          <w:color w:val="1F1F1F"/>
        </w:rPr>
        <w:t xml:space="preserve">Tuberculosis (TB) is a contagious disease caused by infection with the bacterium </w:t>
      </w:r>
      <w:r w:rsidRPr="00C52E34">
        <w:rPr>
          <w:rFonts w:asciiTheme="majorBidi" w:hAnsiTheme="majorBidi" w:cstheme="majorBidi"/>
          <w:i/>
          <w:iCs/>
          <w:color w:val="1F1F1F"/>
          <w:bdr w:val="none" w:sz="0" w:space="0" w:color="auto" w:frame="1"/>
        </w:rPr>
        <w:t>Mycobacterium tuberculosis</w:t>
      </w:r>
      <w:r w:rsidRPr="00C52E34">
        <w:rPr>
          <w:rFonts w:asciiTheme="majorBidi" w:hAnsiTheme="majorBidi" w:cstheme="majorBidi"/>
          <w:color w:val="1F1F1F"/>
        </w:rPr>
        <w:t>. The bacilli primarily attack the lungs as well as other extra-pulmonary organs, frequently causing patients to experience severe shortness of breath, chronic cough, and systemic illness. Pulmonary TB is transmitted from an infectious individual to healthy persons through airborne droplets expelled during coughing, sneezing, or speaking without wearing a mask. Once released into the air, these microscopic TB germs remain suspended and can easily be inhaled by individuals nearby (Rasyid, 2023).</w:t>
      </w:r>
    </w:p>
    <w:p w14:paraId="3D87B488" w14:textId="77777777" w:rsidR="00C52E34" w:rsidRPr="00C52E34" w:rsidRDefault="00C52E34" w:rsidP="00C52E34">
      <w:pPr>
        <w:spacing w:after="0" w:line="240" w:lineRule="auto"/>
        <w:ind w:firstLine="567"/>
        <w:jc w:val="both"/>
        <w:rPr>
          <w:rFonts w:asciiTheme="majorBidi" w:hAnsiTheme="majorBidi" w:cstheme="majorBidi"/>
          <w:color w:val="1F1F1F"/>
        </w:rPr>
      </w:pPr>
      <w:r w:rsidRPr="00C52E34">
        <w:rPr>
          <w:rFonts w:asciiTheme="majorBidi" w:hAnsiTheme="majorBidi" w:cstheme="majorBidi"/>
          <w:color w:val="1F1F1F"/>
        </w:rPr>
        <w:t>Globally, Tuberculosis remains a profound public health crisis. In 2023, TB was estimated to have caused 1.25 million deaths worldwide—a decline from its peak in 2021 during the height of the COVID-19 pandemic. An estimated 8.2 million people were newly diagnosed with Tuberculosis globally in 2023, representing a notable increase from the 7.5 million new cases reported in 2022. The treatment success rate for drug-sensitive TB remained high at 88%, while treatment success for drug-resistant TB demonstrated an encouraging improvement to 68%. Overall, 10.8 million people fell ill with TB in 2023, with 87% of global cases concentrated in 30 high TB burden countries, including Indonesia. The World Health Organization's (WHO) "End TB" Strategy targets a 75% reduction in TB deaths and a 50% reduction in TB incidence by 2025 compared to 2015 baseline levels. However, as of 2023, global cumulative reductions have only reached 23% for mortality and 8.3% for incidence (WHO, 2024).</w:t>
      </w:r>
    </w:p>
    <w:p w14:paraId="1A25AC36" w14:textId="77777777" w:rsidR="00C52E34" w:rsidRPr="00C52E34" w:rsidRDefault="00C52E34" w:rsidP="00C52E34">
      <w:pPr>
        <w:spacing w:after="0" w:line="240" w:lineRule="auto"/>
        <w:ind w:firstLine="567"/>
        <w:jc w:val="both"/>
        <w:rPr>
          <w:rFonts w:asciiTheme="majorBidi" w:hAnsiTheme="majorBidi" w:cstheme="majorBidi"/>
          <w:color w:val="1F1F1F"/>
        </w:rPr>
      </w:pPr>
      <w:r w:rsidRPr="00C52E34">
        <w:rPr>
          <w:rFonts w:asciiTheme="majorBidi" w:hAnsiTheme="majorBidi" w:cstheme="majorBidi"/>
          <w:color w:val="1F1F1F"/>
        </w:rPr>
        <w:t xml:space="preserve">Indonesia consistently ranks among the highest TB burden countries in the world. In 2020, estimated TB cases in Indonesia stood at 824,000, but by 2023 this figure rose by 17% to an estimated 969,000 cases. Tuberculosis represents the third leading cause of death in Indonesia—surpassed only by heart disease and cerebrovascular/respiratory conditions—and holds the first rank among mortality </w:t>
      </w:r>
      <w:r w:rsidRPr="00C52E34">
        <w:rPr>
          <w:rFonts w:asciiTheme="majorBidi" w:hAnsiTheme="majorBidi" w:cstheme="majorBidi"/>
          <w:color w:val="1F1F1F"/>
        </w:rPr>
        <w:lastRenderedPageBreak/>
        <w:t>caused by infectious diseases across all age groups. Because health is a fundamental human right and a basic human need, ensuring adequate disease control is a vital state function. As highlighted by Suhendri &amp; Priyo Purnomo (as cited in Maisarah, 2020), the government is obligated to provide adequate and accessible healthcare facilities to achieve a healthy Indonesian society through structured and sustainable development. This duty is enshrined in Articles 28 and 34 of the 1945 Constitution of the Republic of Indonesia, which guarantee every citizen the right to obtain healthcare services.</w:t>
      </w:r>
    </w:p>
    <w:p w14:paraId="324C4F30" w14:textId="77777777" w:rsidR="00C52E34" w:rsidRPr="00C52E34" w:rsidRDefault="00C52E34" w:rsidP="00C52E34">
      <w:pPr>
        <w:spacing w:after="0" w:line="240" w:lineRule="auto"/>
        <w:ind w:firstLine="567"/>
        <w:jc w:val="both"/>
        <w:rPr>
          <w:rFonts w:asciiTheme="majorBidi" w:hAnsiTheme="majorBidi" w:cstheme="majorBidi"/>
          <w:color w:val="1F1F1F"/>
        </w:rPr>
      </w:pPr>
      <w:r w:rsidRPr="00C52E34">
        <w:rPr>
          <w:rFonts w:asciiTheme="majorBidi" w:hAnsiTheme="majorBidi" w:cstheme="majorBidi"/>
          <w:color w:val="1F1F1F"/>
        </w:rPr>
        <w:t>To accelerate elimination efforts, the Government of Indonesia established a national elimination target for 2030 through Presidential Regulation No. 67 of 2021 concerning Tuberculosis Control. This policy emphasizes strengthening local government leadership, improving access to quality healthcare, enhancing active case finding, ensuring standardized treatment, fostering public-private healthcare collaboration, and empowering communities to break the chain of transmission. The broader national roadmap aims to achieve TB elimination by 2030 and completely end the TB epidemic by 2050, driven by four specific operational objectives:</w:t>
      </w:r>
    </w:p>
    <w:p w14:paraId="3486A76D" w14:textId="77777777" w:rsidR="00C52E34" w:rsidRPr="00C52E34" w:rsidRDefault="00C52E34" w:rsidP="008653F6">
      <w:pPr>
        <w:numPr>
          <w:ilvl w:val="0"/>
          <w:numId w:val="64"/>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Strengthening responsive Tuberculosis control program management across central, provincial, regency, city, and healthcare facility levels.</w:t>
      </w:r>
    </w:p>
    <w:p w14:paraId="2CD1C2E9" w14:textId="77777777" w:rsidR="00C52E34" w:rsidRPr="00C52E34" w:rsidRDefault="00C52E34" w:rsidP="008653F6">
      <w:pPr>
        <w:numPr>
          <w:ilvl w:val="0"/>
          <w:numId w:val="64"/>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Enhancing the quality of community-centered Tuberculosis care services.</w:t>
      </w:r>
    </w:p>
    <w:p w14:paraId="062F34F9" w14:textId="77777777" w:rsidR="00C52E34" w:rsidRPr="00C52E34" w:rsidRDefault="00C52E34" w:rsidP="008653F6">
      <w:pPr>
        <w:numPr>
          <w:ilvl w:val="0"/>
          <w:numId w:val="64"/>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Increasing public access to standardized Tuberculosis diagnostic and treatment services.</w:t>
      </w:r>
    </w:p>
    <w:p w14:paraId="5C0FDD24" w14:textId="77777777" w:rsidR="00C52E34" w:rsidRPr="00C52E34" w:rsidRDefault="00C52E34" w:rsidP="008653F6">
      <w:pPr>
        <w:numPr>
          <w:ilvl w:val="0"/>
          <w:numId w:val="64"/>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Elevating public awareness, demand, and community engagement regarding the importance of Tuberculosis control.</w:t>
      </w:r>
    </w:p>
    <w:p w14:paraId="67A3A01E" w14:textId="77777777" w:rsidR="00C52E34" w:rsidRPr="00C52E34" w:rsidRDefault="00C52E34" w:rsidP="00C52E34">
      <w:pPr>
        <w:spacing w:after="0" w:line="240" w:lineRule="auto"/>
        <w:ind w:firstLine="567"/>
        <w:jc w:val="both"/>
        <w:rPr>
          <w:rFonts w:asciiTheme="majorBidi" w:hAnsiTheme="majorBidi" w:cstheme="majorBidi"/>
          <w:color w:val="1F1F1F"/>
        </w:rPr>
      </w:pPr>
      <w:r w:rsidRPr="00C52E34">
        <w:rPr>
          <w:rFonts w:asciiTheme="majorBidi" w:hAnsiTheme="majorBidi" w:cstheme="majorBidi"/>
          <w:color w:val="1F1F1F"/>
        </w:rPr>
        <w:t>Despite these national mandates, Tuberculosis remains a dominant public health burden in Riau Province. According to data from the Ministry of Health of the Republic of Indonesia (Kemenkes RI), Indonesia ranks second globally in total TB burden after India. In Riau Province, epidemiological surveillance systems have historically operated below optimal levels relative to estimated incidence. Ministry of Health records indicate that the percentage of index cases receiving thorough contact investigation in Riau Province reached only 39% in 2020, though it has shown gradual upward progress in subsequent years.</w:t>
      </w:r>
    </w:p>
    <w:p w14:paraId="0B428A46" w14:textId="77777777" w:rsidR="00C52E34" w:rsidRPr="00C52E34" w:rsidRDefault="00C52E34" w:rsidP="00C52E34">
      <w:pPr>
        <w:spacing w:after="0" w:line="240" w:lineRule="auto"/>
        <w:ind w:firstLine="567"/>
        <w:jc w:val="both"/>
        <w:rPr>
          <w:rFonts w:asciiTheme="majorBidi" w:hAnsiTheme="majorBidi" w:cstheme="majorBidi"/>
          <w:color w:val="1F1F1F"/>
        </w:rPr>
      </w:pPr>
      <w:r w:rsidRPr="00C52E34">
        <w:rPr>
          <w:rFonts w:asciiTheme="majorBidi" w:hAnsiTheme="majorBidi" w:cstheme="majorBidi"/>
          <w:color w:val="1F1F1F"/>
        </w:rPr>
        <w:t>To operationalize national guidelines locally, the Pekanbaru City Government enacted Pekanbaru Mayor Regulation No. 30 of 2023 concerning Tuberculosis Control in Pekanbaru City. This regulation establishes a framework for effective, efficient, comprehensive, and continuous TB control to improve public health and protect residents from transmission. The core objectives stipulated in this Mayor Regulation include:</w:t>
      </w:r>
    </w:p>
    <w:p w14:paraId="12BF5E13" w14:textId="77777777" w:rsidR="00C52E34" w:rsidRPr="00C52E34" w:rsidRDefault="00C52E34" w:rsidP="00C52E34">
      <w:pPr>
        <w:numPr>
          <w:ilvl w:val="0"/>
          <w:numId w:val="65"/>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Protecting the public from Tuberculosis transmission.</w:t>
      </w:r>
    </w:p>
    <w:p w14:paraId="5288ACAF" w14:textId="77777777" w:rsidR="00C52E34" w:rsidRPr="00C52E34" w:rsidRDefault="00C52E34" w:rsidP="00C52E34">
      <w:pPr>
        <w:numPr>
          <w:ilvl w:val="0"/>
          <w:numId w:val="65"/>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Reducing morbidity and mortality rates associated with Tuberculosis.</w:t>
      </w:r>
    </w:p>
    <w:p w14:paraId="60558EBD" w14:textId="77777777" w:rsidR="00C52E34" w:rsidRPr="00C52E34" w:rsidRDefault="00C52E34" w:rsidP="00C52E34">
      <w:pPr>
        <w:numPr>
          <w:ilvl w:val="0"/>
          <w:numId w:val="65"/>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Mitigating the social, cultural, and economic impacts of Tuberculosis on individuals, families, and communities.</w:t>
      </w:r>
    </w:p>
    <w:p w14:paraId="4D51C858" w14:textId="77777777" w:rsidR="00C52E34" w:rsidRPr="00C52E34" w:rsidRDefault="00C52E34" w:rsidP="00C52E34">
      <w:pPr>
        <w:spacing w:after="0" w:line="240" w:lineRule="auto"/>
        <w:ind w:firstLine="567"/>
        <w:jc w:val="both"/>
        <w:rPr>
          <w:rFonts w:asciiTheme="majorBidi" w:hAnsiTheme="majorBidi" w:cstheme="majorBidi"/>
          <w:color w:val="1F1F1F"/>
        </w:rPr>
      </w:pPr>
      <w:r w:rsidRPr="00C52E34">
        <w:rPr>
          <w:rFonts w:asciiTheme="majorBidi" w:hAnsiTheme="majorBidi" w:cstheme="majorBidi"/>
          <w:color w:val="1F1F1F"/>
        </w:rPr>
        <w:t>In Pekanbaru City, local TB control programs are carried out through health promotion, surveillance, risk factor management, and standardized case management. Under health promotion mandates, the Pekanbaru City Health Office builds cross-sectoral partnerships with public health centers (</w:t>
      </w:r>
      <w:r w:rsidRPr="00C52E34">
        <w:rPr>
          <w:rFonts w:asciiTheme="majorBidi" w:hAnsiTheme="majorBidi" w:cstheme="majorBidi"/>
          <w:i/>
          <w:iCs/>
          <w:color w:val="1F1F1F"/>
          <w:bdr w:val="none" w:sz="0" w:space="0" w:color="auto" w:frame="1"/>
        </w:rPr>
        <w:t>Puskesmas</w:t>
      </w:r>
      <w:r w:rsidRPr="00C52E34">
        <w:rPr>
          <w:rFonts w:asciiTheme="majorBidi" w:hAnsiTheme="majorBidi" w:cstheme="majorBidi"/>
          <w:color w:val="1F1F1F"/>
        </w:rPr>
        <w:t>), hospitals, and civil society organizations. Educational campaigns are conducted through posters, banners, and health drives to elevate public literacy regarding TB symptoms, airborne transmission routes, and the necessity of completing long-term treatment regimens.</w:t>
      </w:r>
    </w:p>
    <w:p w14:paraId="557FB015" w14:textId="77777777" w:rsidR="00C52E34" w:rsidRPr="00C52E34" w:rsidRDefault="00C52E34" w:rsidP="00C52E34">
      <w:pPr>
        <w:spacing w:after="0" w:line="240" w:lineRule="auto"/>
        <w:ind w:firstLine="567"/>
        <w:jc w:val="both"/>
        <w:rPr>
          <w:rFonts w:asciiTheme="majorBidi" w:hAnsiTheme="majorBidi" w:cstheme="majorBidi"/>
          <w:color w:val="1F1F1F"/>
        </w:rPr>
      </w:pPr>
      <w:r w:rsidRPr="00C52E34">
        <w:rPr>
          <w:rFonts w:asciiTheme="majorBidi" w:hAnsiTheme="majorBidi" w:cstheme="majorBidi"/>
          <w:color w:val="1F1F1F"/>
        </w:rPr>
        <w:t>Surveillance is maintained systematically via the web-based Tuberculosis Information System (SITB). SITB is utilized by authorized health personnel across primary care facilities, hospitals, the Pekanbaru City Health Office, and the Ministry of Health. To streamline reporting, SITB is integrated with Hospital Information Systems (SIMRS) for real-time tracking of case notifications and treatment outcomes. Furthermore, risk factor determinant control focuses on preventive measures, including:</w:t>
      </w:r>
    </w:p>
    <w:p w14:paraId="1E9306D9" w14:textId="77777777" w:rsidR="00C52E34" w:rsidRPr="00C52E34" w:rsidRDefault="00C52E34" w:rsidP="00C52E34">
      <w:pPr>
        <w:numPr>
          <w:ilvl w:val="0"/>
          <w:numId w:val="66"/>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Cultivating clean and healthy living behaviors (</w:t>
      </w:r>
      <w:r w:rsidRPr="00C52E34">
        <w:rPr>
          <w:rFonts w:asciiTheme="majorBidi" w:hAnsiTheme="majorBidi" w:cstheme="majorBidi"/>
          <w:i/>
          <w:iCs/>
          <w:color w:val="1F1F1F"/>
          <w:bdr w:val="none" w:sz="0" w:space="0" w:color="auto" w:frame="1"/>
        </w:rPr>
        <w:t>PHBS</w:t>
      </w:r>
      <w:r w:rsidRPr="00C52E34">
        <w:rPr>
          <w:rFonts w:asciiTheme="majorBidi" w:hAnsiTheme="majorBidi" w:cstheme="majorBidi"/>
          <w:color w:val="1F1F1F"/>
        </w:rPr>
        <w:t>).</w:t>
      </w:r>
    </w:p>
    <w:p w14:paraId="097A77EB" w14:textId="77777777" w:rsidR="00C52E34" w:rsidRPr="00C52E34" w:rsidRDefault="00C52E34" w:rsidP="00C52E34">
      <w:pPr>
        <w:numPr>
          <w:ilvl w:val="0"/>
          <w:numId w:val="66"/>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Promoting proper cough etiquette throughout the community.</w:t>
      </w:r>
    </w:p>
    <w:p w14:paraId="3A5737FB" w14:textId="77777777" w:rsidR="00C52E34" w:rsidRPr="00C52E34" w:rsidRDefault="00C52E34" w:rsidP="00C52E34">
      <w:pPr>
        <w:numPr>
          <w:ilvl w:val="0"/>
          <w:numId w:val="66"/>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Improving residential and environmental housing quality to meet healthy home standards.</w:t>
      </w:r>
    </w:p>
    <w:p w14:paraId="3F0B6835" w14:textId="77777777" w:rsidR="00C52E34" w:rsidRPr="00C52E34" w:rsidRDefault="00C52E34" w:rsidP="00C52E34">
      <w:pPr>
        <w:numPr>
          <w:ilvl w:val="0"/>
          <w:numId w:val="66"/>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Enhancing host immune resistance.</w:t>
      </w:r>
    </w:p>
    <w:p w14:paraId="33A992CB" w14:textId="77777777" w:rsidR="00C52E34" w:rsidRPr="00C52E34" w:rsidRDefault="00C52E34" w:rsidP="00C52E34">
      <w:pPr>
        <w:numPr>
          <w:ilvl w:val="0"/>
          <w:numId w:val="66"/>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lastRenderedPageBreak/>
        <w:t>Managing co-morbidities associated with Tuberculosis (e.g., HIV, Diabetes Mellitus).</w:t>
      </w:r>
    </w:p>
    <w:p w14:paraId="0B7151E9" w14:textId="77777777" w:rsidR="00C52E34" w:rsidRPr="00C52E34" w:rsidRDefault="00C52E34" w:rsidP="00C52E34">
      <w:pPr>
        <w:numPr>
          <w:ilvl w:val="0"/>
          <w:numId w:val="66"/>
        </w:numPr>
        <w:tabs>
          <w:tab w:val="clear" w:pos="720"/>
        </w:tabs>
        <w:spacing w:after="0" w:line="240" w:lineRule="auto"/>
        <w:ind w:left="284" w:hanging="284"/>
        <w:rPr>
          <w:rFonts w:asciiTheme="majorBidi" w:hAnsiTheme="majorBidi" w:cstheme="majorBidi"/>
          <w:color w:val="1F1F1F"/>
        </w:rPr>
      </w:pPr>
      <w:r w:rsidRPr="00C52E34">
        <w:rPr>
          <w:rFonts w:asciiTheme="majorBidi" w:hAnsiTheme="majorBidi" w:cstheme="majorBidi"/>
          <w:color w:val="1F1F1F"/>
        </w:rPr>
        <w:t>Implementing Tuberculosis Infection Prevention and Control (IPC) measures inside and outside health facilities.</w:t>
      </w:r>
    </w:p>
    <w:p w14:paraId="15601B28" w14:textId="77777777" w:rsidR="00C52E34" w:rsidRPr="00C52E34" w:rsidRDefault="00C52E34" w:rsidP="00C52E34">
      <w:pPr>
        <w:spacing w:after="0" w:line="240" w:lineRule="auto"/>
        <w:ind w:firstLine="567"/>
        <w:jc w:val="both"/>
        <w:rPr>
          <w:rFonts w:asciiTheme="majorBidi" w:hAnsiTheme="majorBidi" w:cstheme="majorBidi"/>
          <w:color w:val="1F1F1F"/>
        </w:rPr>
      </w:pPr>
      <w:r w:rsidRPr="00C52E34">
        <w:rPr>
          <w:rFonts w:asciiTheme="majorBidi" w:hAnsiTheme="majorBidi" w:cstheme="majorBidi"/>
          <w:color w:val="1F1F1F"/>
        </w:rPr>
        <w:t>Prompt case detection and management form the cornerstone of the policy. Pekanbaru Mayor Regulation No. 30 of 2023 mandates both active and passive case-finding strategies. Active case finding reaches high-risk target populations in community settings, whereas passive detection evaluates symptomatic individuals presenting at primary health centers. Undiagnosed TB patients in the community act as continuous transmission reservoirs, posing a major hurdle to policy success. Table 1 illustrates the distribution of TB case findings across regencies and cities in Riau Province from 2023 to 2025.</w:t>
      </w:r>
    </w:p>
    <w:p w14:paraId="22FE9A43" w14:textId="77777777" w:rsidR="00C52E34" w:rsidRPr="00C52E34" w:rsidRDefault="00C52E34" w:rsidP="00C52E34">
      <w:pPr>
        <w:pStyle w:val="Heading4"/>
        <w:spacing w:before="0" w:after="0" w:line="240" w:lineRule="auto"/>
        <w:jc w:val="center"/>
        <w:rPr>
          <w:rFonts w:asciiTheme="majorBidi" w:hAnsiTheme="majorBidi" w:cstheme="majorBidi"/>
          <w:color w:val="1F1F1F"/>
          <w:sz w:val="22"/>
          <w:szCs w:val="22"/>
        </w:rPr>
      </w:pPr>
      <w:r w:rsidRPr="00C52E34">
        <w:rPr>
          <w:rFonts w:asciiTheme="majorBidi" w:hAnsiTheme="majorBidi" w:cstheme="majorBidi"/>
          <w:color w:val="1F1F1F"/>
          <w:sz w:val="22"/>
          <w:szCs w:val="22"/>
        </w:rPr>
        <w:t>Table 1: Proportion of TB Cases by Regency/City in Riau Province (2023–2025) (%)</w:t>
      </w:r>
    </w:p>
    <w:tbl>
      <w:tblPr>
        <w:tblStyle w:val="PlainTable2"/>
        <w:tblW w:w="0" w:type="auto"/>
        <w:jc w:val="center"/>
        <w:tblLook w:val="04A0" w:firstRow="1" w:lastRow="0" w:firstColumn="1" w:lastColumn="0" w:noHBand="0" w:noVBand="1"/>
      </w:tblPr>
      <w:tblGrid>
        <w:gridCol w:w="681"/>
        <w:gridCol w:w="1921"/>
        <w:gridCol w:w="1078"/>
        <w:gridCol w:w="1078"/>
        <w:gridCol w:w="1078"/>
      </w:tblGrid>
      <w:tr w:rsidR="00C52E34" w:rsidRPr="002D601E" w14:paraId="03DA357F" w14:textId="77777777" w:rsidTr="002D601E">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C70AFD1" w14:textId="77777777" w:rsidR="00C52E34" w:rsidRPr="002D601E" w:rsidRDefault="00C52E34" w:rsidP="002D601E">
            <w:pPr>
              <w:rPr>
                <w:rFonts w:ascii="Times New Roman" w:hAnsi="Times New Roman" w:cs="Times New Roman"/>
                <w:b w:val="0"/>
                <w:bCs w:val="0"/>
                <w:color w:val="1F1F1F"/>
              </w:rPr>
            </w:pPr>
            <w:r w:rsidRPr="002D601E">
              <w:rPr>
                <w:rStyle w:val="Strong"/>
                <w:rFonts w:ascii="Times New Roman" w:hAnsi="Times New Roman" w:cs="Times New Roman"/>
                <w:b/>
                <w:bCs/>
                <w:color w:val="1F1F1F"/>
                <w:bdr w:val="none" w:sz="0" w:space="0" w:color="auto" w:frame="1"/>
              </w:rPr>
              <w:t>No</w:t>
            </w:r>
          </w:p>
        </w:tc>
        <w:tc>
          <w:tcPr>
            <w:tcW w:w="0" w:type="auto"/>
            <w:hideMark/>
          </w:tcPr>
          <w:p w14:paraId="2A15B699"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rPr>
            </w:pPr>
            <w:r w:rsidRPr="002D601E">
              <w:rPr>
                <w:rStyle w:val="Strong"/>
                <w:rFonts w:ascii="Times New Roman" w:hAnsi="Times New Roman" w:cs="Times New Roman"/>
                <w:b/>
                <w:bCs/>
                <w:color w:val="1F1F1F"/>
                <w:bdr w:val="none" w:sz="0" w:space="0" w:color="auto" w:frame="1"/>
              </w:rPr>
              <w:t>Regency/City</w:t>
            </w:r>
          </w:p>
        </w:tc>
        <w:tc>
          <w:tcPr>
            <w:tcW w:w="0" w:type="auto"/>
            <w:hideMark/>
          </w:tcPr>
          <w:p w14:paraId="1E0AE4F9"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rPr>
            </w:pPr>
            <w:r w:rsidRPr="002D601E">
              <w:rPr>
                <w:rStyle w:val="Strong"/>
                <w:rFonts w:ascii="Times New Roman" w:hAnsi="Times New Roman" w:cs="Times New Roman"/>
                <w:b/>
                <w:bCs/>
                <w:color w:val="1F1F1F"/>
                <w:bdr w:val="none" w:sz="0" w:space="0" w:color="auto" w:frame="1"/>
              </w:rPr>
              <w:t>2023 (%)</w:t>
            </w:r>
          </w:p>
        </w:tc>
        <w:tc>
          <w:tcPr>
            <w:tcW w:w="0" w:type="auto"/>
            <w:hideMark/>
          </w:tcPr>
          <w:p w14:paraId="22FEF2AF"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rPr>
            </w:pPr>
            <w:r w:rsidRPr="002D601E">
              <w:rPr>
                <w:rStyle w:val="Strong"/>
                <w:rFonts w:ascii="Times New Roman" w:hAnsi="Times New Roman" w:cs="Times New Roman"/>
                <w:b/>
                <w:bCs/>
                <w:color w:val="1F1F1F"/>
                <w:bdr w:val="none" w:sz="0" w:space="0" w:color="auto" w:frame="1"/>
              </w:rPr>
              <w:t>2024 (%)</w:t>
            </w:r>
          </w:p>
        </w:tc>
        <w:tc>
          <w:tcPr>
            <w:tcW w:w="0" w:type="auto"/>
            <w:hideMark/>
          </w:tcPr>
          <w:p w14:paraId="29B0EF54"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rPr>
            </w:pPr>
            <w:r w:rsidRPr="002D601E">
              <w:rPr>
                <w:rStyle w:val="Strong"/>
                <w:rFonts w:ascii="Times New Roman" w:hAnsi="Times New Roman" w:cs="Times New Roman"/>
                <w:b/>
                <w:bCs/>
                <w:color w:val="1F1F1F"/>
                <w:bdr w:val="none" w:sz="0" w:space="0" w:color="auto" w:frame="1"/>
              </w:rPr>
              <w:t>2025 (%)</w:t>
            </w:r>
          </w:p>
        </w:tc>
      </w:tr>
      <w:tr w:rsidR="00C52E34" w:rsidRPr="002D601E" w14:paraId="7325AFA1"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54303A7"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1</w:t>
            </w:r>
          </w:p>
        </w:tc>
        <w:tc>
          <w:tcPr>
            <w:tcW w:w="0" w:type="auto"/>
            <w:hideMark/>
          </w:tcPr>
          <w:p w14:paraId="56F0188D"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Kuantan Singingi</w:t>
            </w:r>
          </w:p>
        </w:tc>
        <w:tc>
          <w:tcPr>
            <w:tcW w:w="0" w:type="auto"/>
            <w:hideMark/>
          </w:tcPr>
          <w:p w14:paraId="53EAAEDD"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30.3</w:t>
            </w:r>
          </w:p>
        </w:tc>
        <w:tc>
          <w:tcPr>
            <w:tcW w:w="0" w:type="auto"/>
            <w:hideMark/>
          </w:tcPr>
          <w:p w14:paraId="6D4345B9"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60.7</w:t>
            </w:r>
          </w:p>
        </w:tc>
        <w:tc>
          <w:tcPr>
            <w:tcW w:w="0" w:type="auto"/>
            <w:hideMark/>
          </w:tcPr>
          <w:p w14:paraId="48D6CA8F"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66.0</w:t>
            </w:r>
          </w:p>
        </w:tc>
      </w:tr>
      <w:tr w:rsidR="00C52E34" w:rsidRPr="002D601E" w14:paraId="32BC28E4"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7CFB1F9"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2</w:t>
            </w:r>
          </w:p>
        </w:tc>
        <w:tc>
          <w:tcPr>
            <w:tcW w:w="0" w:type="auto"/>
            <w:hideMark/>
          </w:tcPr>
          <w:p w14:paraId="45EB41F2"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Indragiri Hulu</w:t>
            </w:r>
          </w:p>
        </w:tc>
        <w:tc>
          <w:tcPr>
            <w:tcW w:w="0" w:type="auto"/>
            <w:hideMark/>
          </w:tcPr>
          <w:p w14:paraId="6D4DCC5C"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43.3</w:t>
            </w:r>
          </w:p>
        </w:tc>
        <w:tc>
          <w:tcPr>
            <w:tcW w:w="0" w:type="auto"/>
            <w:hideMark/>
          </w:tcPr>
          <w:p w14:paraId="5CA5D164"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52.2</w:t>
            </w:r>
          </w:p>
        </w:tc>
        <w:tc>
          <w:tcPr>
            <w:tcW w:w="0" w:type="auto"/>
            <w:hideMark/>
          </w:tcPr>
          <w:p w14:paraId="605EDFCA"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51.0</w:t>
            </w:r>
          </w:p>
        </w:tc>
      </w:tr>
      <w:tr w:rsidR="00C52E34" w:rsidRPr="002D601E" w14:paraId="006D1DF8"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798ADE"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3</w:t>
            </w:r>
          </w:p>
        </w:tc>
        <w:tc>
          <w:tcPr>
            <w:tcW w:w="0" w:type="auto"/>
            <w:hideMark/>
          </w:tcPr>
          <w:p w14:paraId="0CD150E6"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Indragiri Hilir</w:t>
            </w:r>
          </w:p>
        </w:tc>
        <w:tc>
          <w:tcPr>
            <w:tcW w:w="0" w:type="auto"/>
            <w:hideMark/>
          </w:tcPr>
          <w:p w14:paraId="551950E9"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57.5</w:t>
            </w:r>
          </w:p>
        </w:tc>
        <w:tc>
          <w:tcPr>
            <w:tcW w:w="0" w:type="auto"/>
            <w:hideMark/>
          </w:tcPr>
          <w:p w14:paraId="4741CDD1"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55.4</w:t>
            </w:r>
          </w:p>
        </w:tc>
        <w:tc>
          <w:tcPr>
            <w:tcW w:w="0" w:type="auto"/>
            <w:hideMark/>
          </w:tcPr>
          <w:p w14:paraId="4281963B"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50.0</w:t>
            </w:r>
          </w:p>
        </w:tc>
      </w:tr>
      <w:tr w:rsidR="00C52E34" w:rsidRPr="002D601E" w14:paraId="307261A1"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5235FF9"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4</w:t>
            </w:r>
          </w:p>
        </w:tc>
        <w:tc>
          <w:tcPr>
            <w:tcW w:w="0" w:type="auto"/>
            <w:hideMark/>
          </w:tcPr>
          <w:p w14:paraId="6925CC17"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Pelalawan</w:t>
            </w:r>
          </w:p>
        </w:tc>
        <w:tc>
          <w:tcPr>
            <w:tcW w:w="0" w:type="auto"/>
            <w:hideMark/>
          </w:tcPr>
          <w:p w14:paraId="6A1384AA"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46.3</w:t>
            </w:r>
          </w:p>
        </w:tc>
        <w:tc>
          <w:tcPr>
            <w:tcW w:w="0" w:type="auto"/>
            <w:hideMark/>
          </w:tcPr>
          <w:p w14:paraId="09D566B2"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72.1</w:t>
            </w:r>
          </w:p>
        </w:tc>
        <w:tc>
          <w:tcPr>
            <w:tcW w:w="0" w:type="auto"/>
            <w:hideMark/>
          </w:tcPr>
          <w:p w14:paraId="5AD17495"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59.0</w:t>
            </w:r>
          </w:p>
        </w:tc>
      </w:tr>
      <w:tr w:rsidR="00C52E34" w:rsidRPr="002D601E" w14:paraId="7B5F69BE"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182DBD"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5</w:t>
            </w:r>
          </w:p>
        </w:tc>
        <w:tc>
          <w:tcPr>
            <w:tcW w:w="0" w:type="auto"/>
            <w:hideMark/>
          </w:tcPr>
          <w:p w14:paraId="4D9F73BE"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Siak</w:t>
            </w:r>
          </w:p>
        </w:tc>
        <w:tc>
          <w:tcPr>
            <w:tcW w:w="0" w:type="auto"/>
            <w:hideMark/>
          </w:tcPr>
          <w:p w14:paraId="79280FD2"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35.5</w:t>
            </w:r>
          </w:p>
        </w:tc>
        <w:tc>
          <w:tcPr>
            <w:tcW w:w="0" w:type="auto"/>
            <w:hideMark/>
          </w:tcPr>
          <w:p w14:paraId="10F3D64A"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49.2</w:t>
            </w:r>
          </w:p>
        </w:tc>
        <w:tc>
          <w:tcPr>
            <w:tcW w:w="0" w:type="auto"/>
            <w:hideMark/>
          </w:tcPr>
          <w:p w14:paraId="7570970B"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43.0</w:t>
            </w:r>
          </w:p>
        </w:tc>
      </w:tr>
      <w:tr w:rsidR="00C52E34" w:rsidRPr="002D601E" w14:paraId="2FAD8310"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6689BD5"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6</w:t>
            </w:r>
          </w:p>
        </w:tc>
        <w:tc>
          <w:tcPr>
            <w:tcW w:w="0" w:type="auto"/>
            <w:hideMark/>
          </w:tcPr>
          <w:p w14:paraId="462EECF5"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Kampar</w:t>
            </w:r>
          </w:p>
        </w:tc>
        <w:tc>
          <w:tcPr>
            <w:tcW w:w="0" w:type="auto"/>
            <w:hideMark/>
          </w:tcPr>
          <w:p w14:paraId="11453DC9"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90.2</w:t>
            </w:r>
          </w:p>
        </w:tc>
        <w:tc>
          <w:tcPr>
            <w:tcW w:w="0" w:type="auto"/>
            <w:hideMark/>
          </w:tcPr>
          <w:p w14:paraId="28600623"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41.6</w:t>
            </w:r>
          </w:p>
        </w:tc>
        <w:tc>
          <w:tcPr>
            <w:tcW w:w="0" w:type="auto"/>
            <w:hideMark/>
          </w:tcPr>
          <w:p w14:paraId="06D83673"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51.0</w:t>
            </w:r>
          </w:p>
        </w:tc>
      </w:tr>
      <w:tr w:rsidR="00C52E34" w:rsidRPr="002D601E" w14:paraId="22498E97"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E89D9E0"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7</w:t>
            </w:r>
          </w:p>
        </w:tc>
        <w:tc>
          <w:tcPr>
            <w:tcW w:w="0" w:type="auto"/>
            <w:hideMark/>
          </w:tcPr>
          <w:p w14:paraId="797830C7"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Rokan Hulu</w:t>
            </w:r>
          </w:p>
        </w:tc>
        <w:tc>
          <w:tcPr>
            <w:tcW w:w="0" w:type="auto"/>
            <w:hideMark/>
          </w:tcPr>
          <w:p w14:paraId="12F42A4C"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79.0</w:t>
            </w:r>
          </w:p>
        </w:tc>
        <w:tc>
          <w:tcPr>
            <w:tcW w:w="0" w:type="auto"/>
            <w:hideMark/>
          </w:tcPr>
          <w:p w14:paraId="3C075D95"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74.8</w:t>
            </w:r>
          </w:p>
        </w:tc>
        <w:tc>
          <w:tcPr>
            <w:tcW w:w="0" w:type="auto"/>
            <w:hideMark/>
          </w:tcPr>
          <w:p w14:paraId="019DEAE9"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75.0</w:t>
            </w:r>
          </w:p>
        </w:tc>
      </w:tr>
      <w:tr w:rsidR="00C52E34" w:rsidRPr="002D601E" w14:paraId="78A99250"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AEFF532"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8</w:t>
            </w:r>
          </w:p>
        </w:tc>
        <w:tc>
          <w:tcPr>
            <w:tcW w:w="0" w:type="auto"/>
            <w:hideMark/>
          </w:tcPr>
          <w:p w14:paraId="629E694C"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Bengkalis</w:t>
            </w:r>
          </w:p>
        </w:tc>
        <w:tc>
          <w:tcPr>
            <w:tcW w:w="0" w:type="auto"/>
            <w:hideMark/>
          </w:tcPr>
          <w:p w14:paraId="723A8104"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63.4</w:t>
            </w:r>
          </w:p>
        </w:tc>
        <w:tc>
          <w:tcPr>
            <w:tcW w:w="0" w:type="auto"/>
            <w:hideMark/>
          </w:tcPr>
          <w:p w14:paraId="497472AF"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68.9</w:t>
            </w:r>
          </w:p>
        </w:tc>
        <w:tc>
          <w:tcPr>
            <w:tcW w:w="0" w:type="auto"/>
            <w:hideMark/>
          </w:tcPr>
          <w:p w14:paraId="136083B6"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70.0</w:t>
            </w:r>
          </w:p>
        </w:tc>
      </w:tr>
      <w:tr w:rsidR="00C52E34" w:rsidRPr="002D601E" w14:paraId="0E53C204"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C5F05EB"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9</w:t>
            </w:r>
          </w:p>
        </w:tc>
        <w:tc>
          <w:tcPr>
            <w:tcW w:w="0" w:type="auto"/>
            <w:hideMark/>
          </w:tcPr>
          <w:p w14:paraId="0472CFC8"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Rokan Hilir</w:t>
            </w:r>
          </w:p>
        </w:tc>
        <w:tc>
          <w:tcPr>
            <w:tcW w:w="0" w:type="auto"/>
            <w:hideMark/>
          </w:tcPr>
          <w:p w14:paraId="4399E31A"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97.1</w:t>
            </w:r>
          </w:p>
        </w:tc>
        <w:tc>
          <w:tcPr>
            <w:tcW w:w="0" w:type="auto"/>
            <w:hideMark/>
          </w:tcPr>
          <w:p w14:paraId="01AA462C"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58.2</w:t>
            </w:r>
          </w:p>
        </w:tc>
        <w:tc>
          <w:tcPr>
            <w:tcW w:w="0" w:type="auto"/>
            <w:hideMark/>
          </w:tcPr>
          <w:p w14:paraId="7C52C4C5"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63.0</w:t>
            </w:r>
          </w:p>
        </w:tc>
      </w:tr>
      <w:tr w:rsidR="00C52E34" w:rsidRPr="002D601E" w14:paraId="511E500C"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E46C9A0"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10</w:t>
            </w:r>
          </w:p>
        </w:tc>
        <w:tc>
          <w:tcPr>
            <w:tcW w:w="0" w:type="auto"/>
            <w:hideMark/>
          </w:tcPr>
          <w:p w14:paraId="3CB1E57A"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Kepulauan Meranti</w:t>
            </w:r>
          </w:p>
        </w:tc>
        <w:tc>
          <w:tcPr>
            <w:tcW w:w="0" w:type="auto"/>
            <w:hideMark/>
          </w:tcPr>
          <w:p w14:paraId="0FBD57CF"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14.5</w:t>
            </w:r>
          </w:p>
        </w:tc>
        <w:tc>
          <w:tcPr>
            <w:tcW w:w="0" w:type="auto"/>
            <w:hideMark/>
          </w:tcPr>
          <w:p w14:paraId="6DDE558C"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45.6</w:t>
            </w:r>
          </w:p>
        </w:tc>
        <w:tc>
          <w:tcPr>
            <w:tcW w:w="0" w:type="auto"/>
            <w:hideMark/>
          </w:tcPr>
          <w:p w14:paraId="0584C24A"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43.0</w:t>
            </w:r>
          </w:p>
        </w:tc>
      </w:tr>
      <w:tr w:rsidR="00C52E34" w:rsidRPr="002D601E" w14:paraId="03C38D7B"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2F1BAEC"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11</w:t>
            </w:r>
          </w:p>
        </w:tc>
        <w:tc>
          <w:tcPr>
            <w:tcW w:w="0" w:type="auto"/>
            <w:hideMark/>
          </w:tcPr>
          <w:p w14:paraId="5E9CAC0D"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Pekanbaru</w:t>
            </w:r>
          </w:p>
        </w:tc>
        <w:tc>
          <w:tcPr>
            <w:tcW w:w="0" w:type="auto"/>
            <w:hideMark/>
          </w:tcPr>
          <w:p w14:paraId="3B815107"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260.5</w:t>
            </w:r>
          </w:p>
        </w:tc>
        <w:tc>
          <w:tcPr>
            <w:tcW w:w="0" w:type="auto"/>
            <w:hideMark/>
          </w:tcPr>
          <w:p w14:paraId="6B0E5F5E"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127.4</w:t>
            </w:r>
          </w:p>
        </w:tc>
        <w:tc>
          <w:tcPr>
            <w:tcW w:w="0" w:type="auto"/>
            <w:hideMark/>
          </w:tcPr>
          <w:p w14:paraId="216D9395"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114.0</w:t>
            </w:r>
          </w:p>
        </w:tc>
      </w:tr>
      <w:tr w:rsidR="00C52E34" w:rsidRPr="002D601E" w14:paraId="65532F9F"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0174CB4"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12</w:t>
            </w:r>
          </w:p>
        </w:tc>
        <w:tc>
          <w:tcPr>
            <w:tcW w:w="0" w:type="auto"/>
            <w:hideMark/>
          </w:tcPr>
          <w:p w14:paraId="18E63E87"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Dumai</w:t>
            </w:r>
          </w:p>
        </w:tc>
        <w:tc>
          <w:tcPr>
            <w:tcW w:w="0" w:type="auto"/>
            <w:hideMark/>
          </w:tcPr>
          <w:p w14:paraId="53F9902B"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53.2</w:t>
            </w:r>
          </w:p>
        </w:tc>
        <w:tc>
          <w:tcPr>
            <w:tcW w:w="0" w:type="auto"/>
            <w:hideMark/>
          </w:tcPr>
          <w:p w14:paraId="281CA1ED"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91.2</w:t>
            </w:r>
          </w:p>
        </w:tc>
        <w:tc>
          <w:tcPr>
            <w:tcW w:w="0" w:type="auto"/>
            <w:hideMark/>
          </w:tcPr>
          <w:p w14:paraId="6D7CBC5D"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96.0</w:t>
            </w:r>
          </w:p>
        </w:tc>
      </w:tr>
      <w:tr w:rsidR="00C52E34" w:rsidRPr="002D601E" w14:paraId="22D58A2C"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356E012"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b w:val="0"/>
                <w:bCs w:val="0"/>
                <w:color w:val="1F1F1F"/>
                <w:bdr w:val="none" w:sz="0" w:space="0" w:color="auto" w:frame="1"/>
              </w:rPr>
              <w:t>Total</w:t>
            </w:r>
          </w:p>
        </w:tc>
        <w:tc>
          <w:tcPr>
            <w:tcW w:w="0" w:type="auto"/>
            <w:hideMark/>
          </w:tcPr>
          <w:p w14:paraId="76DEEF4C"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b/>
                <w:bCs/>
                <w:color w:val="1F1F1F"/>
                <w:bdr w:val="none" w:sz="0" w:space="0" w:color="auto" w:frame="1"/>
              </w:rPr>
              <w:t>Riau Province</w:t>
            </w:r>
          </w:p>
        </w:tc>
        <w:tc>
          <w:tcPr>
            <w:tcW w:w="0" w:type="auto"/>
            <w:hideMark/>
          </w:tcPr>
          <w:p w14:paraId="618F31DD"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b/>
                <w:bCs/>
                <w:color w:val="1F1F1F"/>
                <w:bdr w:val="none" w:sz="0" w:space="0" w:color="auto" w:frame="1"/>
              </w:rPr>
              <w:t>866.8</w:t>
            </w:r>
          </w:p>
        </w:tc>
        <w:tc>
          <w:tcPr>
            <w:tcW w:w="0" w:type="auto"/>
            <w:hideMark/>
          </w:tcPr>
          <w:p w14:paraId="4D78E3D8"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b/>
                <w:bCs/>
                <w:color w:val="1F1F1F"/>
                <w:bdr w:val="none" w:sz="0" w:space="0" w:color="auto" w:frame="1"/>
              </w:rPr>
              <w:t>78.0</w:t>
            </w:r>
          </w:p>
        </w:tc>
        <w:tc>
          <w:tcPr>
            <w:tcW w:w="0" w:type="auto"/>
            <w:hideMark/>
          </w:tcPr>
          <w:p w14:paraId="31C9B946"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b/>
                <w:bCs/>
                <w:color w:val="1F1F1F"/>
                <w:bdr w:val="none" w:sz="0" w:space="0" w:color="auto" w:frame="1"/>
              </w:rPr>
              <w:t>79.1</w:t>
            </w:r>
          </w:p>
        </w:tc>
      </w:tr>
    </w:tbl>
    <w:p w14:paraId="7522885B" w14:textId="77777777" w:rsidR="00C52E34" w:rsidRPr="002D601E" w:rsidRDefault="00C52E34" w:rsidP="002D601E">
      <w:pPr>
        <w:spacing w:after="0" w:line="240" w:lineRule="auto"/>
        <w:jc w:val="center"/>
        <w:rPr>
          <w:rFonts w:asciiTheme="majorBidi" w:hAnsiTheme="majorBidi" w:cstheme="majorBidi"/>
          <w:color w:val="1F1F1F"/>
        </w:rPr>
      </w:pPr>
      <w:r w:rsidRPr="002D601E">
        <w:rPr>
          <w:rFonts w:asciiTheme="majorBidi" w:hAnsiTheme="majorBidi" w:cstheme="majorBidi"/>
          <w:i/>
          <w:iCs/>
          <w:color w:val="1F1F1F"/>
          <w:bdr w:val="none" w:sz="0" w:space="0" w:color="auto" w:frame="1"/>
        </w:rPr>
        <w:t>Source: Statistics Indonesia (BPS), 2026</w:t>
      </w:r>
    </w:p>
    <w:p w14:paraId="48D60B1C" w14:textId="77777777" w:rsidR="00C52E34" w:rsidRPr="002D601E" w:rsidRDefault="00C52E34" w:rsidP="002D601E">
      <w:pPr>
        <w:spacing w:after="0" w:line="240" w:lineRule="auto"/>
        <w:ind w:firstLine="567"/>
        <w:jc w:val="both"/>
        <w:rPr>
          <w:rFonts w:asciiTheme="majorBidi" w:hAnsiTheme="majorBidi" w:cstheme="majorBidi"/>
          <w:color w:val="1F1F1F"/>
        </w:rPr>
      </w:pPr>
      <w:r w:rsidRPr="002D601E">
        <w:rPr>
          <w:rFonts w:asciiTheme="majorBidi" w:hAnsiTheme="majorBidi" w:cstheme="majorBidi"/>
          <w:color w:val="1F1F1F"/>
        </w:rPr>
        <w:t xml:space="preserve">As detailed in Table 1, Pekanbaru City consistently accounts for the highest proportion of TB cases in Riau Province across 2023 (260.5%), 2024 (127.4%), and 2025 (114.0%). The heavy concentration of cases in urban Pekanbaru is driven by high population density, rapid urban mobility, and its role as the primary medical referral hub for Riau Province. Fluctuation in notification rates reflects shifts in active screening intensity, contact tracing, and reporting completeness. </w:t>
      </w:r>
    </w:p>
    <w:p w14:paraId="56751B58" w14:textId="77777777" w:rsidR="00C52E34" w:rsidRPr="002D601E" w:rsidRDefault="00C52E34" w:rsidP="002D601E">
      <w:pPr>
        <w:spacing w:after="0" w:line="240" w:lineRule="auto"/>
        <w:ind w:firstLine="567"/>
        <w:jc w:val="both"/>
        <w:rPr>
          <w:rFonts w:asciiTheme="majorBidi" w:hAnsiTheme="majorBidi" w:cstheme="majorBidi"/>
          <w:color w:val="1F1F1F"/>
        </w:rPr>
      </w:pPr>
      <w:r w:rsidRPr="002D601E">
        <w:rPr>
          <w:rFonts w:asciiTheme="majorBidi" w:hAnsiTheme="majorBidi" w:cstheme="majorBidi"/>
          <w:color w:val="1F1F1F"/>
        </w:rPr>
        <w:t>At the municipal level, case detection and treatment performance vary across sub-districts (</w:t>
      </w:r>
      <w:r w:rsidRPr="002D601E">
        <w:rPr>
          <w:rFonts w:asciiTheme="majorBidi" w:hAnsiTheme="majorBidi" w:cstheme="majorBidi"/>
          <w:i/>
          <w:iCs/>
          <w:color w:val="1F1F1F"/>
          <w:bdr w:val="none" w:sz="0" w:space="0" w:color="auto" w:frame="1"/>
        </w:rPr>
        <w:t>Kecamatan</w:t>
      </w:r>
      <w:r w:rsidRPr="002D601E">
        <w:rPr>
          <w:rFonts w:asciiTheme="majorBidi" w:hAnsiTheme="majorBidi" w:cstheme="majorBidi"/>
          <w:color w:val="1F1F1F"/>
        </w:rPr>
        <w:t>). Table 2 presents the 2023 municipal breakdown of detected cases, treated cases, and treatment success rates.</w:t>
      </w:r>
    </w:p>
    <w:p w14:paraId="10E5B1E1" w14:textId="77777777" w:rsidR="007747AD" w:rsidRDefault="00C52E34" w:rsidP="002D601E">
      <w:pPr>
        <w:pStyle w:val="Heading4"/>
        <w:spacing w:before="0" w:after="0" w:line="240" w:lineRule="auto"/>
        <w:jc w:val="center"/>
        <w:rPr>
          <w:rFonts w:asciiTheme="majorBidi" w:hAnsiTheme="majorBidi" w:cstheme="majorBidi"/>
          <w:color w:val="1F1F1F"/>
          <w:sz w:val="22"/>
          <w:szCs w:val="22"/>
        </w:rPr>
      </w:pPr>
      <w:r w:rsidRPr="002D601E">
        <w:rPr>
          <w:rFonts w:asciiTheme="majorBidi" w:hAnsiTheme="majorBidi" w:cstheme="majorBidi"/>
          <w:color w:val="1F1F1F"/>
          <w:sz w:val="22"/>
          <w:szCs w:val="22"/>
        </w:rPr>
        <w:t>Table 2: TB Case Findings, Treatment, and Success Rates in Pekanbaru City by</w:t>
      </w:r>
    </w:p>
    <w:p w14:paraId="65A6E791" w14:textId="5124EEB0" w:rsidR="00C52E34" w:rsidRPr="002D601E" w:rsidRDefault="00C52E34" w:rsidP="002D601E">
      <w:pPr>
        <w:pStyle w:val="Heading4"/>
        <w:spacing w:before="0" w:after="0" w:line="240" w:lineRule="auto"/>
        <w:jc w:val="center"/>
        <w:rPr>
          <w:rFonts w:asciiTheme="majorBidi" w:hAnsiTheme="majorBidi" w:cstheme="majorBidi"/>
          <w:color w:val="1F1F1F"/>
          <w:sz w:val="22"/>
          <w:szCs w:val="22"/>
        </w:rPr>
      </w:pPr>
      <w:r w:rsidRPr="002D601E">
        <w:rPr>
          <w:rFonts w:asciiTheme="majorBidi" w:hAnsiTheme="majorBidi" w:cstheme="majorBidi"/>
          <w:color w:val="1F1F1F"/>
          <w:sz w:val="22"/>
          <w:szCs w:val="22"/>
        </w:rPr>
        <w:t>Sub-District (2023)</w:t>
      </w:r>
    </w:p>
    <w:tbl>
      <w:tblPr>
        <w:tblStyle w:val="PlainTable2"/>
        <w:tblW w:w="0" w:type="auto"/>
        <w:jc w:val="center"/>
        <w:tblLook w:val="04A0" w:firstRow="1" w:lastRow="0" w:firstColumn="1" w:lastColumn="0" w:noHBand="0" w:noVBand="1"/>
      </w:tblPr>
      <w:tblGrid>
        <w:gridCol w:w="681"/>
        <w:gridCol w:w="2642"/>
        <w:gridCol w:w="754"/>
        <w:gridCol w:w="962"/>
        <w:gridCol w:w="1842"/>
      </w:tblGrid>
      <w:tr w:rsidR="00C52E34" w:rsidRPr="002D601E" w14:paraId="660FACC7" w14:textId="77777777" w:rsidTr="002D601E">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0E9565" w14:textId="77777777" w:rsidR="00C52E34" w:rsidRPr="002D601E" w:rsidRDefault="00C52E34" w:rsidP="002D601E">
            <w:pPr>
              <w:rPr>
                <w:rFonts w:ascii="Times New Roman" w:hAnsi="Times New Roman" w:cs="Times New Roman"/>
                <w:b w:val="0"/>
                <w:bCs w:val="0"/>
                <w:color w:val="1F1F1F"/>
              </w:rPr>
            </w:pPr>
            <w:r w:rsidRPr="002D601E">
              <w:rPr>
                <w:rStyle w:val="Strong"/>
                <w:rFonts w:ascii="Times New Roman" w:hAnsi="Times New Roman" w:cs="Times New Roman"/>
                <w:b/>
                <w:bCs/>
                <w:color w:val="1F1F1F"/>
                <w:bdr w:val="none" w:sz="0" w:space="0" w:color="auto" w:frame="1"/>
              </w:rPr>
              <w:t>No</w:t>
            </w:r>
          </w:p>
        </w:tc>
        <w:tc>
          <w:tcPr>
            <w:tcW w:w="0" w:type="auto"/>
            <w:hideMark/>
          </w:tcPr>
          <w:p w14:paraId="7D8616DC"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rPr>
            </w:pPr>
            <w:r w:rsidRPr="002D601E">
              <w:rPr>
                <w:rStyle w:val="Strong"/>
                <w:rFonts w:ascii="Times New Roman" w:hAnsi="Times New Roman" w:cs="Times New Roman"/>
                <w:b/>
                <w:bCs/>
                <w:color w:val="1F1F1F"/>
                <w:bdr w:val="none" w:sz="0" w:space="0" w:color="auto" w:frame="1"/>
              </w:rPr>
              <w:t>Sub-District (Kecamatan)</w:t>
            </w:r>
          </w:p>
        </w:tc>
        <w:tc>
          <w:tcPr>
            <w:tcW w:w="0" w:type="auto"/>
            <w:hideMark/>
          </w:tcPr>
          <w:p w14:paraId="1C27E797"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rPr>
            </w:pPr>
            <w:r w:rsidRPr="002D601E">
              <w:rPr>
                <w:rStyle w:val="Strong"/>
                <w:rFonts w:ascii="Times New Roman" w:hAnsi="Times New Roman" w:cs="Times New Roman"/>
                <w:b/>
                <w:bCs/>
                <w:color w:val="1F1F1F"/>
                <w:bdr w:val="none" w:sz="0" w:space="0" w:color="auto" w:frame="1"/>
              </w:rPr>
              <w:t>Cases</w:t>
            </w:r>
          </w:p>
        </w:tc>
        <w:tc>
          <w:tcPr>
            <w:tcW w:w="0" w:type="auto"/>
            <w:hideMark/>
          </w:tcPr>
          <w:p w14:paraId="41EC5476"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rPr>
            </w:pPr>
            <w:r w:rsidRPr="002D601E">
              <w:rPr>
                <w:rStyle w:val="Strong"/>
                <w:rFonts w:ascii="Times New Roman" w:hAnsi="Times New Roman" w:cs="Times New Roman"/>
                <w:b/>
                <w:bCs/>
                <w:color w:val="1F1F1F"/>
                <w:bdr w:val="none" w:sz="0" w:space="0" w:color="auto" w:frame="1"/>
              </w:rPr>
              <w:t>Treated</w:t>
            </w:r>
          </w:p>
        </w:tc>
        <w:tc>
          <w:tcPr>
            <w:tcW w:w="0" w:type="auto"/>
            <w:hideMark/>
          </w:tcPr>
          <w:p w14:paraId="22710D15"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rPr>
            </w:pPr>
            <w:r w:rsidRPr="002D601E">
              <w:rPr>
                <w:rStyle w:val="Strong"/>
                <w:rFonts w:ascii="Times New Roman" w:hAnsi="Times New Roman" w:cs="Times New Roman"/>
                <w:b/>
                <w:bCs/>
                <w:color w:val="1F1F1F"/>
                <w:bdr w:val="none" w:sz="0" w:space="0" w:color="auto" w:frame="1"/>
              </w:rPr>
              <w:t>Success Rate (%)</w:t>
            </w:r>
          </w:p>
        </w:tc>
      </w:tr>
      <w:tr w:rsidR="00C52E34" w:rsidRPr="002D601E" w14:paraId="1D61704E"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2643972"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1</w:t>
            </w:r>
          </w:p>
        </w:tc>
        <w:tc>
          <w:tcPr>
            <w:tcW w:w="0" w:type="auto"/>
            <w:hideMark/>
          </w:tcPr>
          <w:p w14:paraId="59FC7426"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Sukajadi</w:t>
            </w:r>
          </w:p>
        </w:tc>
        <w:tc>
          <w:tcPr>
            <w:tcW w:w="0" w:type="auto"/>
            <w:hideMark/>
          </w:tcPr>
          <w:p w14:paraId="4500B651"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596</w:t>
            </w:r>
          </w:p>
        </w:tc>
        <w:tc>
          <w:tcPr>
            <w:tcW w:w="0" w:type="auto"/>
            <w:hideMark/>
          </w:tcPr>
          <w:p w14:paraId="475F0A1B"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571</w:t>
            </w:r>
          </w:p>
        </w:tc>
        <w:tc>
          <w:tcPr>
            <w:tcW w:w="0" w:type="auto"/>
            <w:hideMark/>
          </w:tcPr>
          <w:p w14:paraId="24138EFE"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95.8%</w:t>
            </w:r>
          </w:p>
        </w:tc>
      </w:tr>
      <w:tr w:rsidR="00C52E34" w:rsidRPr="002D601E" w14:paraId="7B66BA7C"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E1E257F"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2</w:t>
            </w:r>
          </w:p>
        </w:tc>
        <w:tc>
          <w:tcPr>
            <w:tcW w:w="0" w:type="auto"/>
            <w:hideMark/>
          </w:tcPr>
          <w:p w14:paraId="259145B7"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Senapelan</w:t>
            </w:r>
          </w:p>
        </w:tc>
        <w:tc>
          <w:tcPr>
            <w:tcW w:w="0" w:type="auto"/>
            <w:hideMark/>
          </w:tcPr>
          <w:p w14:paraId="512C4962"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67</w:t>
            </w:r>
          </w:p>
        </w:tc>
        <w:tc>
          <w:tcPr>
            <w:tcW w:w="0" w:type="auto"/>
            <w:hideMark/>
          </w:tcPr>
          <w:p w14:paraId="2B080E84"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59</w:t>
            </w:r>
          </w:p>
        </w:tc>
        <w:tc>
          <w:tcPr>
            <w:tcW w:w="0" w:type="auto"/>
            <w:hideMark/>
          </w:tcPr>
          <w:p w14:paraId="6F21B697"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88.0%</w:t>
            </w:r>
          </w:p>
        </w:tc>
      </w:tr>
      <w:tr w:rsidR="00C52E34" w:rsidRPr="002D601E" w14:paraId="2E5E7479"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0D1C29"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3</w:t>
            </w:r>
          </w:p>
        </w:tc>
        <w:tc>
          <w:tcPr>
            <w:tcW w:w="0" w:type="auto"/>
            <w:hideMark/>
          </w:tcPr>
          <w:p w14:paraId="24FE2724"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Rumbai Timur</w:t>
            </w:r>
          </w:p>
        </w:tc>
        <w:tc>
          <w:tcPr>
            <w:tcW w:w="0" w:type="auto"/>
            <w:hideMark/>
          </w:tcPr>
          <w:p w14:paraId="4530462D"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136</w:t>
            </w:r>
          </w:p>
        </w:tc>
        <w:tc>
          <w:tcPr>
            <w:tcW w:w="0" w:type="auto"/>
            <w:hideMark/>
          </w:tcPr>
          <w:p w14:paraId="68010BBB"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128</w:t>
            </w:r>
          </w:p>
        </w:tc>
        <w:tc>
          <w:tcPr>
            <w:tcW w:w="0" w:type="auto"/>
            <w:hideMark/>
          </w:tcPr>
          <w:p w14:paraId="0B2BE78B"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94.1%</w:t>
            </w:r>
          </w:p>
        </w:tc>
      </w:tr>
      <w:tr w:rsidR="00C52E34" w:rsidRPr="002D601E" w14:paraId="38BEE5DB"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A7098A"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4</w:t>
            </w:r>
          </w:p>
        </w:tc>
        <w:tc>
          <w:tcPr>
            <w:tcW w:w="0" w:type="auto"/>
            <w:hideMark/>
          </w:tcPr>
          <w:p w14:paraId="3B25ED31"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Rumbai</w:t>
            </w:r>
          </w:p>
        </w:tc>
        <w:tc>
          <w:tcPr>
            <w:tcW w:w="0" w:type="auto"/>
            <w:hideMark/>
          </w:tcPr>
          <w:p w14:paraId="39094698"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w:t>
            </w:r>
          </w:p>
        </w:tc>
        <w:tc>
          <w:tcPr>
            <w:tcW w:w="0" w:type="auto"/>
            <w:hideMark/>
          </w:tcPr>
          <w:p w14:paraId="33E60E3C"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w:t>
            </w:r>
          </w:p>
        </w:tc>
        <w:tc>
          <w:tcPr>
            <w:tcW w:w="0" w:type="auto"/>
            <w:hideMark/>
          </w:tcPr>
          <w:p w14:paraId="1BBCE58C"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100.0%</w:t>
            </w:r>
          </w:p>
        </w:tc>
      </w:tr>
      <w:tr w:rsidR="00C52E34" w:rsidRPr="002D601E" w14:paraId="2FA80515"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E84CCAB"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5</w:t>
            </w:r>
          </w:p>
        </w:tc>
        <w:tc>
          <w:tcPr>
            <w:tcW w:w="0" w:type="auto"/>
            <w:hideMark/>
          </w:tcPr>
          <w:p w14:paraId="17AC61E3"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Rumbai Barat</w:t>
            </w:r>
          </w:p>
        </w:tc>
        <w:tc>
          <w:tcPr>
            <w:tcW w:w="0" w:type="auto"/>
            <w:hideMark/>
          </w:tcPr>
          <w:p w14:paraId="4B3409EC"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28</w:t>
            </w:r>
          </w:p>
        </w:tc>
        <w:tc>
          <w:tcPr>
            <w:tcW w:w="0" w:type="auto"/>
            <w:hideMark/>
          </w:tcPr>
          <w:p w14:paraId="266D6F03"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27</w:t>
            </w:r>
          </w:p>
        </w:tc>
        <w:tc>
          <w:tcPr>
            <w:tcW w:w="0" w:type="auto"/>
            <w:hideMark/>
          </w:tcPr>
          <w:p w14:paraId="4F489C7B"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96.4%</w:t>
            </w:r>
          </w:p>
        </w:tc>
      </w:tr>
      <w:tr w:rsidR="00C52E34" w:rsidRPr="002D601E" w14:paraId="5E27E7A7"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D7CDC5"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6</w:t>
            </w:r>
          </w:p>
        </w:tc>
        <w:tc>
          <w:tcPr>
            <w:tcW w:w="0" w:type="auto"/>
            <w:hideMark/>
          </w:tcPr>
          <w:p w14:paraId="00FDE1ED"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Pekanbaru Kota</w:t>
            </w:r>
          </w:p>
        </w:tc>
        <w:tc>
          <w:tcPr>
            <w:tcW w:w="0" w:type="auto"/>
            <w:hideMark/>
          </w:tcPr>
          <w:p w14:paraId="26D0EF08"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699</w:t>
            </w:r>
          </w:p>
        </w:tc>
        <w:tc>
          <w:tcPr>
            <w:tcW w:w="0" w:type="auto"/>
            <w:hideMark/>
          </w:tcPr>
          <w:p w14:paraId="386EC6A5"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553</w:t>
            </w:r>
          </w:p>
        </w:tc>
        <w:tc>
          <w:tcPr>
            <w:tcW w:w="0" w:type="auto"/>
            <w:hideMark/>
          </w:tcPr>
          <w:p w14:paraId="0CC78AE3"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79.1%</w:t>
            </w:r>
          </w:p>
        </w:tc>
      </w:tr>
      <w:tr w:rsidR="00C52E34" w:rsidRPr="002D601E" w14:paraId="00D57D0D"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BEECC8E"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7</w:t>
            </w:r>
          </w:p>
        </w:tc>
        <w:tc>
          <w:tcPr>
            <w:tcW w:w="0" w:type="auto"/>
            <w:hideMark/>
          </w:tcPr>
          <w:p w14:paraId="532A4A16"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Lima Puluh</w:t>
            </w:r>
          </w:p>
        </w:tc>
        <w:tc>
          <w:tcPr>
            <w:tcW w:w="0" w:type="auto"/>
            <w:hideMark/>
          </w:tcPr>
          <w:p w14:paraId="18691A6B"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51</w:t>
            </w:r>
          </w:p>
        </w:tc>
        <w:tc>
          <w:tcPr>
            <w:tcW w:w="0" w:type="auto"/>
            <w:hideMark/>
          </w:tcPr>
          <w:p w14:paraId="132727FB"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41</w:t>
            </w:r>
          </w:p>
        </w:tc>
        <w:tc>
          <w:tcPr>
            <w:tcW w:w="0" w:type="auto"/>
            <w:hideMark/>
          </w:tcPr>
          <w:p w14:paraId="603588FF"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80.3%</w:t>
            </w:r>
          </w:p>
        </w:tc>
      </w:tr>
      <w:tr w:rsidR="00C52E34" w:rsidRPr="002D601E" w14:paraId="10263CA5"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92B0A1B"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8</w:t>
            </w:r>
          </w:p>
        </w:tc>
        <w:tc>
          <w:tcPr>
            <w:tcW w:w="0" w:type="auto"/>
            <w:hideMark/>
          </w:tcPr>
          <w:p w14:paraId="232F71FF"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Sail</w:t>
            </w:r>
          </w:p>
        </w:tc>
        <w:tc>
          <w:tcPr>
            <w:tcW w:w="0" w:type="auto"/>
            <w:hideMark/>
          </w:tcPr>
          <w:p w14:paraId="6E350DDA"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107</w:t>
            </w:r>
          </w:p>
        </w:tc>
        <w:tc>
          <w:tcPr>
            <w:tcW w:w="0" w:type="auto"/>
            <w:hideMark/>
          </w:tcPr>
          <w:p w14:paraId="04614DF6"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99</w:t>
            </w:r>
          </w:p>
        </w:tc>
        <w:tc>
          <w:tcPr>
            <w:tcW w:w="0" w:type="auto"/>
            <w:hideMark/>
          </w:tcPr>
          <w:p w14:paraId="23F88580"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92.5%</w:t>
            </w:r>
          </w:p>
        </w:tc>
      </w:tr>
      <w:tr w:rsidR="00C52E34" w:rsidRPr="002D601E" w14:paraId="024FF697"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5F141D0"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9</w:t>
            </w:r>
          </w:p>
        </w:tc>
        <w:tc>
          <w:tcPr>
            <w:tcW w:w="0" w:type="auto"/>
            <w:hideMark/>
          </w:tcPr>
          <w:p w14:paraId="3376810F"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Marpoyan Damai</w:t>
            </w:r>
          </w:p>
        </w:tc>
        <w:tc>
          <w:tcPr>
            <w:tcW w:w="0" w:type="auto"/>
            <w:hideMark/>
          </w:tcPr>
          <w:p w14:paraId="6441F4A3"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657</w:t>
            </w:r>
          </w:p>
        </w:tc>
        <w:tc>
          <w:tcPr>
            <w:tcW w:w="0" w:type="auto"/>
            <w:hideMark/>
          </w:tcPr>
          <w:p w14:paraId="51530966"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621</w:t>
            </w:r>
          </w:p>
        </w:tc>
        <w:tc>
          <w:tcPr>
            <w:tcW w:w="0" w:type="auto"/>
            <w:hideMark/>
          </w:tcPr>
          <w:p w14:paraId="799C7561"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94.5%</w:t>
            </w:r>
          </w:p>
        </w:tc>
      </w:tr>
      <w:tr w:rsidR="00C52E34" w:rsidRPr="002D601E" w14:paraId="03AAA86A"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0B3A525"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10</w:t>
            </w:r>
          </w:p>
        </w:tc>
        <w:tc>
          <w:tcPr>
            <w:tcW w:w="0" w:type="auto"/>
            <w:hideMark/>
          </w:tcPr>
          <w:p w14:paraId="16D34F51"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Bukit Raya</w:t>
            </w:r>
          </w:p>
        </w:tc>
        <w:tc>
          <w:tcPr>
            <w:tcW w:w="0" w:type="auto"/>
            <w:hideMark/>
          </w:tcPr>
          <w:p w14:paraId="43969CDC"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348</w:t>
            </w:r>
          </w:p>
        </w:tc>
        <w:tc>
          <w:tcPr>
            <w:tcW w:w="0" w:type="auto"/>
            <w:hideMark/>
          </w:tcPr>
          <w:p w14:paraId="040C73E0"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315</w:t>
            </w:r>
          </w:p>
        </w:tc>
        <w:tc>
          <w:tcPr>
            <w:tcW w:w="0" w:type="auto"/>
            <w:hideMark/>
          </w:tcPr>
          <w:p w14:paraId="6CC60495"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90.5%</w:t>
            </w:r>
          </w:p>
        </w:tc>
      </w:tr>
      <w:tr w:rsidR="00C52E34" w:rsidRPr="002D601E" w14:paraId="009393B3"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50BADB8"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11</w:t>
            </w:r>
          </w:p>
        </w:tc>
        <w:tc>
          <w:tcPr>
            <w:tcW w:w="0" w:type="auto"/>
            <w:hideMark/>
          </w:tcPr>
          <w:p w14:paraId="6C14430F"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Tenayan Raya</w:t>
            </w:r>
          </w:p>
        </w:tc>
        <w:tc>
          <w:tcPr>
            <w:tcW w:w="0" w:type="auto"/>
            <w:hideMark/>
          </w:tcPr>
          <w:p w14:paraId="605D80C5"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163</w:t>
            </w:r>
          </w:p>
        </w:tc>
        <w:tc>
          <w:tcPr>
            <w:tcW w:w="0" w:type="auto"/>
            <w:hideMark/>
          </w:tcPr>
          <w:p w14:paraId="7E21FC2D"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161</w:t>
            </w:r>
          </w:p>
        </w:tc>
        <w:tc>
          <w:tcPr>
            <w:tcW w:w="0" w:type="auto"/>
            <w:hideMark/>
          </w:tcPr>
          <w:p w14:paraId="78D438CA"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98.7%</w:t>
            </w:r>
          </w:p>
        </w:tc>
      </w:tr>
      <w:tr w:rsidR="00C52E34" w:rsidRPr="002D601E" w14:paraId="5B84696F"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895E650"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12</w:t>
            </w:r>
          </w:p>
        </w:tc>
        <w:tc>
          <w:tcPr>
            <w:tcW w:w="0" w:type="auto"/>
            <w:hideMark/>
          </w:tcPr>
          <w:p w14:paraId="69B14BF3"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Kulim</w:t>
            </w:r>
          </w:p>
        </w:tc>
        <w:tc>
          <w:tcPr>
            <w:tcW w:w="0" w:type="auto"/>
            <w:hideMark/>
          </w:tcPr>
          <w:p w14:paraId="51BB9A1E"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65</w:t>
            </w:r>
          </w:p>
        </w:tc>
        <w:tc>
          <w:tcPr>
            <w:tcW w:w="0" w:type="auto"/>
            <w:hideMark/>
          </w:tcPr>
          <w:p w14:paraId="25145FDF"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60</w:t>
            </w:r>
          </w:p>
        </w:tc>
        <w:tc>
          <w:tcPr>
            <w:tcW w:w="0" w:type="auto"/>
            <w:hideMark/>
          </w:tcPr>
          <w:p w14:paraId="19AEA1DD"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92.3%</w:t>
            </w:r>
          </w:p>
        </w:tc>
      </w:tr>
      <w:tr w:rsidR="00C52E34" w:rsidRPr="002D601E" w14:paraId="52585CB5"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1CDB27A"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lastRenderedPageBreak/>
              <w:t>13</w:t>
            </w:r>
          </w:p>
        </w:tc>
        <w:tc>
          <w:tcPr>
            <w:tcW w:w="0" w:type="auto"/>
            <w:hideMark/>
          </w:tcPr>
          <w:p w14:paraId="4B449C0E"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Payung Sekaki</w:t>
            </w:r>
          </w:p>
        </w:tc>
        <w:tc>
          <w:tcPr>
            <w:tcW w:w="0" w:type="auto"/>
            <w:hideMark/>
          </w:tcPr>
          <w:p w14:paraId="2223A599"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93</w:t>
            </w:r>
          </w:p>
        </w:tc>
        <w:tc>
          <w:tcPr>
            <w:tcW w:w="0" w:type="auto"/>
            <w:hideMark/>
          </w:tcPr>
          <w:p w14:paraId="4C94A743"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64</w:t>
            </w:r>
          </w:p>
        </w:tc>
        <w:tc>
          <w:tcPr>
            <w:tcW w:w="0" w:type="auto"/>
            <w:hideMark/>
          </w:tcPr>
          <w:p w14:paraId="7DE19685"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68.8%</w:t>
            </w:r>
          </w:p>
        </w:tc>
      </w:tr>
      <w:tr w:rsidR="00C52E34" w:rsidRPr="002D601E" w14:paraId="67E99A67"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E97747"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14</w:t>
            </w:r>
          </w:p>
        </w:tc>
        <w:tc>
          <w:tcPr>
            <w:tcW w:w="0" w:type="auto"/>
            <w:hideMark/>
          </w:tcPr>
          <w:p w14:paraId="7191AB5E"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Bina Widya</w:t>
            </w:r>
          </w:p>
        </w:tc>
        <w:tc>
          <w:tcPr>
            <w:tcW w:w="0" w:type="auto"/>
            <w:hideMark/>
          </w:tcPr>
          <w:p w14:paraId="7C682769"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356</w:t>
            </w:r>
          </w:p>
        </w:tc>
        <w:tc>
          <w:tcPr>
            <w:tcW w:w="0" w:type="auto"/>
            <w:hideMark/>
          </w:tcPr>
          <w:p w14:paraId="42BCE77F"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337</w:t>
            </w:r>
          </w:p>
        </w:tc>
        <w:tc>
          <w:tcPr>
            <w:tcW w:w="0" w:type="auto"/>
            <w:hideMark/>
          </w:tcPr>
          <w:p w14:paraId="6409D2D1"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94.6%</w:t>
            </w:r>
          </w:p>
        </w:tc>
      </w:tr>
      <w:tr w:rsidR="00C52E34" w:rsidRPr="002D601E" w14:paraId="7AC5D3EA"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7D552A3"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color w:val="1F1F1F"/>
                <w:bdr w:val="none" w:sz="0" w:space="0" w:color="auto" w:frame="1"/>
              </w:rPr>
              <w:t>15</w:t>
            </w:r>
          </w:p>
        </w:tc>
        <w:tc>
          <w:tcPr>
            <w:tcW w:w="0" w:type="auto"/>
            <w:hideMark/>
          </w:tcPr>
          <w:p w14:paraId="1DCFFC4D"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Tuah Madani</w:t>
            </w:r>
          </w:p>
        </w:tc>
        <w:tc>
          <w:tcPr>
            <w:tcW w:w="0" w:type="auto"/>
            <w:hideMark/>
          </w:tcPr>
          <w:p w14:paraId="4F0EDB95"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454</w:t>
            </w:r>
          </w:p>
        </w:tc>
        <w:tc>
          <w:tcPr>
            <w:tcW w:w="0" w:type="auto"/>
            <w:hideMark/>
          </w:tcPr>
          <w:p w14:paraId="080AB328"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405</w:t>
            </w:r>
          </w:p>
        </w:tc>
        <w:tc>
          <w:tcPr>
            <w:tcW w:w="0" w:type="auto"/>
            <w:hideMark/>
          </w:tcPr>
          <w:p w14:paraId="1D87B8B6"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color w:val="1F1F1F"/>
                <w:bdr w:val="none" w:sz="0" w:space="0" w:color="auto" w:frame="1"/>
              </w:rPr>
              <w:t>89.2%</w:t>
            </w:r>
          </w:p>
        </w:tc>
      </w:tr>
      <w:tr w:rsidR="00C52E34" w:rsidRPr="002D601E" w14:paraId="558C1C65"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25FA1E2" w14:textId="77777777" w:rsidR="00C52E34" w:rsidRPr="002D601E" w:rsidRDefault="00C52E34" w:rsidP="002D601E">
            <w:pPr>
              <w:rPr>
                <w:rFonts w:ascii="Times New Roman" w:hAnsi="Times New Roman" w:cs="Times New Roman"/>
                <w:color w:val="1F1F1F"/>
              </w:rPr>
            </w:pPr>
            <w:r w:rsidRPr="002D601E">
              <w:rPr>
                <w:rFonts w:ascii="Times New Roman" w:hAnsi="Times New Roman" w:cs="Times New Roman"/>
                <w:b w:val="0"/>
                <w:bCs w:val="0"/>
                <w:color w:val="1F1F1F"/>
                <w:bdr w:val="none" w:sz="0" w:space="0" w:color="auto" w:frame="1"/>
              </w:rPr>
              <w:t>Total</w:t>
            </w:r>
          </w:p>
        </w:tc>
        <w:tc>
          <w:tcPr>
            <w:tcW w:w="0" w:type="auto"/>
            <w:hideMark/>
          </w:tcPr>
          <w:p w14:paraId="79D227E6"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b/>
                <w:bCs/>
                <w:color w:val="1F1F1F"/>
                <w:bdr w:val="none" w:sz="0" w:space="0" w:color="auto" w:frame="1"/>
              </w:rPr>
              <w:t>Pekanbaru City</w:t>
            </w:r>
          </w:p>
        </w:tc>
        <w:tc>
          <w:tcPr>
            <w:tcW w:w="0" w:type="auto"/>
            <w:hideMark/>
          </w:tcPr>
          <w:p w14:paraId="0E51A9BB"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b/>
                <w:bCs/>
                <w:color w:val="1F1F1F"/>
                <w:bdr w:val="none" w:sz="0" w:space="0" w:color="auto" w:frame="1"/>
              </w:rPr>
              <w:t>3,829</w:t>
            </w:r>
          </w:p>
        </w:tc>
        <w:tc>
          <w:tcPr>
            <w:tcW w:w="0" w:type="auto"/>
            <w:hideMark/>
          </w:tcPr>
          <w:p w14:paraId="6DE9121E"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b/>
                <w:bCs/>
                <w:color w:val="1F1F1F"/>
                <w:bdr w:val="none" w:sz="0" w:space="0" w:color="auto" w:frame="1"/>
              </w:rPr>
              <w:t>3,450</w:t>
            </w:r>
          </w:p>
        </w:tc>
        <w:tc>
          <w:tcPr>
            <w:tcW w:w="0" w:type="auto"/>
            <w:hideMark/>
          </w:tcPr>
          <w:p w14:paraId="21690907"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rPr>
            </w:pPr>
            <w:r w:rsidRPr="002D601E">
              <w:rPr>
                <w:rFonts w:ascii="Times New Roman" w:hAnsi="Times New Roman" w:cs="Times New Roman"/>
                <w:b/>
                <w:bCs/>
                <w:color w:val="1F1F1F"/>
                <w:bdr w:val="none" w:sz="0" w:space="0" w:color="auto" w:frame="1"/>
              </w:rPr>
              <w:t>90.1%</w:t>
            </w:r>
          </w:p>
        </w:tc>
      </w:tr>
    </w:tbl>
    <w:p w14:paraId="7B2A3A23" w14:textId="77777777" w:rsidR="00C52E34" w:rsidRPr="002D601E" w:rsidRDefault="00C52E34" w:rsidP="002D601E">
      <w:pPr>
        <w:spacing w:after="0" w:line="240" w:lineRule="auto"/>
        <w:jc w:val="center"/>
        <w:rPr>
          <w:rFonts w:asciiTheme="majorBidi" w:hAnsiTheme="majorBidi" w:cstheme="majorBidi"/>
          <w:color w:val="1F1F1F"/>
        </w:rPr>
      </w:pPr>
      <w:r w:rsidRPr="002D601E">
        <w:rPr>
          <w:rFonts w:asciiTheme="majorBidi" w:hAnsiTheme="majorBidi" w:cstheme="majorBidi"/>
          <w:i/>
          <w:iCs/>
          <w:color w:val="1F1F1F"/>
          <w:bdr w:val="none" w:sz="0" w:space="0" w:color="auto" w:frame="1"/>
        </w:rPr>
        <w:t>Source: Pekanbaru City Health Office, 2025</w:t>
      </w:r>
    </w:p>
    <w:p w14:paraId="1E053CB0" w14:textId="77777777" w:rsidR="00C52E34" w:rsidRPr="002D601E" w:rsidRDefault="00C52E34" w:rsidP="002D601E">
      <w:pPr>
        <w:spacing w:after="0" w:line="240" w:lineRule="auto"/>
        <w:ind w:firstLine="567"/>
        <w:jc w:val="both"/>
        <w:rPr>
          <w:rFonts w:asciiTheme="majorBidi" w:hAnsiTheme="majorBidi" w:cstheme="majorBidi"/>
          <w:color w:val="1F1F1F"/>
        </w:rPr>
      </w:pPr>
      <w:r w:rsidRPr="002D601E">
        <w:rPr>
          <w:rFonts w:asciiTheme="majorBidi" w:hAnsiTheme="majorBidi" w:cstheme="majorBidi"/>
          <w:color w:val="1F1F1F"/>
        </w:rPr>
        <w:t>In 2023, Pekanbaru City recorded 3,829 TB cases, with 3,450 patients undergoing treatment, yielding an overall treatment success rate of 90.1%. Pekanbaru Kota recorded the highest burden (699 cases; 79.1% success rate), while Rumbai recorded the lowest burden (9 cases; 100% success rate). Sub-districts with lower success rates, such as Payung Sekaki (68.8%) and Pekanbaru Kota (79.1%), highlight areas vulnerable to treatment interruption and default. However, longitudinal statistics published by Statistics Indonesia (BPS) reveal variations in overall treatment success rates, as summarized in Table 3.</w:t>
      </w:r>
    </w:p>
    <w:p w14:paraId="2D5AE82A" w14:textId="77777777" w:rsidR="007747AD" w:rsidRDefault="00C52E34" w:rsidP="002D601E">
      <w:pPr>
        <w:pStyle w:val="Heading4"/>
        <w:spacing w:before="0" w:after="0" w:line="240" w:lineRule="auto"/>
        <w:jc w:val="center"/>
        <w:rPr>
          <w:rFonts w:asciiTheme="majorBidi" w:hAnsiTheme="majorBidi" w:cstheme="majorBidi"/>
          <w:color w:val="1F1F1F"/>
          <w:sz w:val="22"/>
          <w:szCs w:val="22"/>
        </w:rPr>
      </w:pPr>
      <w:r w:rsidRPr="002D601E">
        <w:rPr>
          <w:rFonts w:asciiTheme="majorBidi" w:hAnsiTheme="majorBidi" w:cstheme="majorBidi"/>
          <w:color w:val="1F1F1F"/>
          <w:sz w:val="22"/>
          <w:szCs w:val="22"/>
        </w:rPr>
        <w:t>Table 3: Case Notification and Treatment Success Rates in Pekanbaru</w:t>
      </w:r>
    </w:p>
    <w:p w14:paraId="49F5FC09" w14:textId="451E100F" w:rsidR="00C52E34" w:rsidRPr="002D601E" w:rsidRDefault="00C52E34" w:rsidP="002D601E">
      <w:pPr>
        <w:pStyle w:val="Heading4"/>
        <w:spacing w:before="0" w:after="0" w:line="240" w:lineRule="auto"/>
        <w:jc w:val="center"/>
        <w:rPr>
          <w:rFonts w:asciiTheme="majorBidi" w:hAnsiTheme="majorBidi" w:cstheme="majorBidi"/>
          <w:color w:val="1F1F1F"/>
          <w:sz w:val="22"/>
          <w:szCs w:val="22"/>
        </w:rPr>
      </w:pPr>
      <w:r w:rsidRPr="002D601E">
        <w:rPr>
          <w:rFonts w:asciiTheme="majorBidi" w:hAnsiTheme="majorBidi" w:cstheme="majorBidi"/>
          <w:color w:val="1F1F1F"/>
          <w:sz w:val="22"/>
          <w:szCs w:val="22"/>
        </w:rPr>
        <w:t>City (%) (2024–2025)</w:t>
      </w:r>
    </w:p>
    <w:tbl>
      <w:tblPr>
        <w:tblStyle w:val="PlainTable2"/>
        <w:tblW w:w="0" w:type="auto"/>
        <w:jc w:val="center"/>
        <w:tblLook w:val="04A0" w:firstRow="1" w:lastRow="0" w:firstColumn="1" w:lastColumn="0" w:noHBand="0" w:noVBand="1"/>
      </w:tblPr>
      <w:tblGrid>
        <w:gridCol w:w="485"/>
        <w:gridCol w:w="681"/>
        <w:gridCol w:w="2184"/>
        <w:gridCol w:w="2899"/>
      </w:tblGrid>
      <w:tr w:rsidR="00C52E34" w:rsidRPr="002D601E" w14:paraId="20F7E24A" w14:textId="77777777" w:rsidTr="002D601E">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D2C5C6" w14:textId="77777777" w:rsidR="00C52E34" w:rsidRPr="002D601E" w:rsidRDefault="00C52E34" w:rsidP="002D601E">
            <w:pPr>
              <w:rPr>
                <w:rFonts w:asciiTheme="majorBidi" w:hAnsiTheme="majorBidi" w:cstheme="majorBidi"/>
                <w:b w:val="0"/>
                <w:bCs w:val="0"/>
                <w:color w:val="1F1F1F"/>
              </w:rPr>
            </w:pPr>
            <w:r w:rsidRPr="002D601E">
              <w:rPr>
                <w:rStyle w:val="Strong"/>
                <w:rFonts w:asciiTheme="majorBidi" w:hAnsiTheme="majorBidi" w:cstheme="majorBidi"/>
                <w:b/>
                <w:bCs/>
                <w:color w:val="1F1F1F"/>
                <w:bdr w:val="none" w:sz="0" w:space="0" w:color="auto" w:frame="1"/>
              </w:rPr>
              <w:t>No</w:t>
            </w:r>
          </w:p>
        </w:tc>
        <w:tc>
          <w:tcPr>
            <w:tcW w:w="0" w:type="auto"/>
            <w:hideMark/>
          </w:tcPr>
          <w:p w14:paraId="3CFA3B56"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1F1F1F"/>
              </w:rPr>
            </w:pPr>
            <w:r w:rsidRPr="002D601E">
              <w:rPr>
                <w:rStyle w:val="Strong"/>
                <w:rFonts w:asciiTheme="majorBidi" w:hAnsiTheme="majorBidi" w:cstheme="majorBidi"/>
                <w:b/>
                <w:bCs/>
                <w:color w:val="1F1F1F"/>
                <w:bdr w:val="none" w:sz="0" w:space="0" w:color="auto" w:frame="1"/>
              </w:rPr>
              <w:t>Year</w:t>
            </w:r>
          </w:p>
        </w:tc>
        <w:tc>
          <w:tcPr>
            <w:tcW w:w="0" w:type="auto"/>
            <w:hideMark/>
          </w:tcPr>
          <w:p w14:paraId="66C31633"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1F1F1F"/>
              </w:rPr>
            </w:pPr>
            <w:r w:rsidRPr="002D601E">
              <w:rPr>
                <w:rStyle w:val="Strong"/>
                <w:rFonts w:asciiTheme="majorBidi" w:hAnsiTheme="majorBidi" w:cstheme="majorBidi"/>
                <w:b/>
                <w:bCs/>
                <w:color w:val="1F1F1F"/>
                <w:bdr w:val="none" w:sz="0" w:space="0" w:color="auto" w:frame="1"/>
              </w:rPr>
              <w:t>Case Proportion (%)</w:t>
            </w:r>
          </w:p>
        </w:tc>
        <w:tc>
          <w:tcPr>
            <w:tcW w:w="0" w:type="auto"/>
            <w:hideMark/>
          </w:tcPr>
          <w:p w14:paraId="65379910" w14:textId="77777777" w:rsidR="00C52E34" w:rsidRPr="002D601E" w:rsidRDefault="00C52E34" w:rsidP="002D601E">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1F1F1F"/>
              </w:rPr>
            </w:pPr>
            <w:r w:rsidRPr="002D601E">
              <w:rPr>
                <w:rStyle w:val="Strong"/>
                <w:rFonts w:asciiTheme="majorBidi" w:hAnsiTheme="majorBidi" w:cstheme="majorBidi"/>
                <w:b/>
                <w:bCs/>
                <w:color w:val="1F1F1F"/>
                <w:bdr w:val="none" w:sz="0" w:space="0" w:color="auto" w:frame="1"/>
              </w:rPr>
              <w:t>Treatment Success Rate (%)</w:t>
            </w:r>
          </w:p>
        </w:tc>
      </w:tr>
      <w:tr w:rsidR="00C52E34" w:rsidRPr="002D601E" w14:paraId="4C2C1F93" w14:textId="77777777" w:rsidTr="002D601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0B104CD" w14:textId="77777777" w:rsidR="00C52E34" w:rsidRPr="002D601E" w:rsidRDefault="00C52E34" w:rsidP="002D601E">
            <w:pPr>
              <w:rPr>
                <w:rFonts w:asciiTheme="majorBidi" w:hAnsiTheme="majorBidi" w:cstheme="majorBidi"/>
                <w:color w:val="1F1F1F"/>
              </w:rPr>
            </w:pPr>
            <w:r w:rsidRPr="002D601E">
              <w:rPr>
                <w:rFonts w:asciiTheme="majorBidi" w:hAnsiTheme="majorBidi" w:cstheme="majorBidi"/>
                <w:color w:val="1F1F1F"/>
                <w:bdr w:val="none" w:sz="0" w:space="0" w:color="auto" w:frame="1"/>
              </w:rPr>
              <w:t>1</w:t>
            </w:r>
          </w:p>
        </w:tc>
        <w:tc>
          <w:tcPr>
            <w:tcW w:w="0" w:type="auto"/>
            <w:hideMark/>
          </w:tcPr>
          <w:p w14:paraId="0212171A"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rPr>
            </w:pPr>
            <w:r w:rsidRPr="002D601E">
              <w:rPr>
                <w:rFonts w:asciiTheme="majorBidi" w:hAnsiTheme="majorBidi" w:cstheme="majorBidi"/>
                <w:color w:val="1F1F1F"/>
                <w:bdr w:val="none" w:sz="0" w:space="0" w:color="auto" w:frame="1"/>
              </w:rPr>
              <w:t>2024</w:t>
            </w:r>
          </w:p>
        </w:tc>
        <w:tc>
          <w:tcPr>
            <w:tcW w:w="0" w:type="auto"/>
            <w:hideMark/>
          </w:tcPr>
          <w:p w14:paraId="0B0CDFC5"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rPr>
            </w:pPr>
            <w:r w:rsidRPr="002D601E">
              <w:rPr>
                <w:rFonts w:asciiTheme="majorBidi" w:hAnsiTheme="majorBidi" w:cstheme="majorBidi"/>
                <w:color w:val="1F1F1F"/>
                <w:bdr w:val="none" w:sz="0" w:space="0" w:color="auto" w:frame="1"/>
              </w:rPr>
              <w:t>127.4</w:t>
            </w:r>
          </w:p>
        </w:tc>
        <w:tc>
          <w:tcPr>
            <w:tcW w:w="0" w:type="auto"/>
            <w:hideMark/>
          </w:tcPr>
          <w:p w14:paraId="07F13933" w14:textId="77777777" w:rsidR="00C52E34" w:rsidRPr="002D601E" w:rsidRDefault="00C52E34" w:rsidP="002D601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rPr>
            </w:pPr>
            <w:r w:rsidRPr="002D601E">
              <w:rPr>
                <w:rFonts w:asciiTheme="majorBidi" w:hAnsiTheme="majorBidi" w:cstheme="majorBidi"/>
                <w:color w:val="1F1F1F"/>
                <w:bdr w:val="none" w:sz="0" w:space="0" w:color="auto" w:frame="1"/>
              </w:rPr>
              <w:t>80.9%</w:t>
            </w:r>
          </w:p>
        </w:tc>
      </w:tr>
      <w:tr w:rsidR="00C52E34" w:rsidRPr="002D601E" w14:paraId="1DCC4D64" w14:textId="77777777" w:rsidTr="002D601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3C434FA" w14:textId="77777777" w:rsidR="00C52E34" w:rsidRPr="002D601E" w:rsidRDefault="00C52E34" w:rsidP="002D601E">
            <w:pPr>
              <w:rPr>
                <w:rFonts w:asciiTheme="majorBidi" w:hAnsiTheme="majorBidi" w:cstheme="majorBidi"/>
                <w:color w:val="1F1F1F"/>
              </w:rPr>
            </w:pPr>
            <w:r w:rsidRPr="002D601E">
              <w:rPr>
                <w:rFonts w:asciiTheme="majorBidi" w:hAnsiTheme="majorBidi" w:cstheme="majorBidi"/>
                <w:color w:val="1F1F1F"/>
                <w:bdr w:val="none" w:sz="0" w:space="0" w:color="auto" w:frame="1"/>
              </w:rPr>
              <w:t>2</w:t>
            </w:r>
          </w:p>
        </w:tc>
        <w:tc>
          <w:tcPr>
            <w:tcW w:w="0" w:type="auto"/>
            <w:hideMark/>
          </w:tcPr>
          <w:p w14:paraId="29314751"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rPr>
            </w:pPr>
            <w:r w:rsidRPr="002D601E">
              <w:rPr>
                <w:rFonts w:asciiTheme="majorBidi" w:hAnsiTheme="majorBidi" w:cstheme="majorBidi"/>
                <w:color w:val="1F1F1F"/>
                <w:bdr w:val="none" w:sz="0" w:space="0" w:color="auto" w:frame="1"/>
              </w:rPr>
              <w:t>2025</w:t>
            </w:r>
          </w:p>
        </w:tc>
        <w:tc>
          <w:tcPr>
            <w:tcW w:w="0" w:type="auto"/>
            <w:hideMark/>
          </w:tcPr>
          <w:p w14:paraId="6289C8DD"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rPr>
            </w:pPr>
            <w:r w:rsidRPr="002D601E">
              <w:rPr>
                <w:rFonts w:asciiTheme="majorBidi" w:hAnsiTheme="majorBidi" w:cstheme="majorBidi"/>
                <w:color w:val="1F1F1F"/>
                <w:bdr w:val="none" w:sz="0" w:space="0" w:color="auto" w:frame="1"/>
              </w:rPr>
              <w:t>114.0</w:t>
            </w:r>
          </w:p>
        </w:tc>
        <w:tc>
          <w:tcPr>
            <w:tcW w:w="0" w:type="auto"/>
            <w:hideMark/>
          </w:tcPr>
          <w:p w14:paraId="5AEBA957" w14:textId="77777777" w:rsidR="00C52E34" w:rsidRPr="002D601E" w:rsidRDefault="00C52E34" w:rsidP="002D601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rPr>
            </w:pPr>
            <w:r w:rsidRPr="002D601E">
              <w:rPr>
                <w:rFonts w:asciiTheme="majorBidi" w:hAnsiTheme="majorBidi" w:cstheme="majorBidi"/>
                <w:color w:val="1F1F1F"/>
                <w:bdr w:val="none" w:sz="0" w:space="0" w:color="auto" w:frame="1"/>
              </w:rPr>
              <w:t>80.5%</w:t>
            </w:r>
          </w:p>
        </w:tc>
      </w:tr>
    </w:tbl>
    <w:p w14:paraId="41C1C68D" w14:textId="77777777" w:rsidR="00C52E34" w:rsidRPr="002D601E" w:rsidRDefault="00C52E34" w:rsidP="002D601E">
      <w:pPr>
        <w:spacing w:after="0" w:line="240" w:lineRule="auto"/>
        <w:jc w:val="center"/>
        <w:rPr>
          <w:rFonts w:asciiTheme="majorBidi" w:hAnsiTheme="majorBidi" w:cstheme="majorBidi"/>
          <w:color w:val="1F1F1F"/>
        </w:rPr>
      </w:pPr>
      <w:r w:rsidRPr="002D601E">
        <w:rPr>
          <w:rFonts w:asciiTheme="majorBidi" w:hAnsiTheme="majorBidi" w:cstheme="majorBidi"/>
          <w:i/>
          <w:iCs/>
          <w:color w:val="1F1F1F"/>
          <w:bdr w:val="none" w:sz="0" w:space="0" w:color="auto" w:frame="1"/>
        </w:rPr>
        <w:t>Source: Statistics Indonesia (BPS), 2026</w:t>
      </w:r>
    </w:p>
    <w:p w14:paraId="41EAE52A" w14:textId="77777777" w:rsidR="00C52E34" w:rsidRPr="002D601E" w:rsidRDefault="00C52E34" w:rsidP="002D601E">
      <w:pPr>
        <w:spacing w:after="0" w:line="240" w:lineRule="auto"/>
        <w:ind w:firstLine="567"/>
        <w:jc w:val="both"/>
        <w:rPr>
          <w:rFonts w:asciiTheme="majorBidi" w:hAnsiTheme="majorBidi" w:cstheme="majorBidi"/>
          <w:color w:val="1F1F1F"/>
        </w:rPr>
      </w:pPr>
      <w:r w:rsidRPr="002D601E">
        <w:rPr>
          <w:rFonts w:asciiTheme="majorBidi" w:hAnsiTheme="majorBidi" w:cstheme="majorBidi"/>
          <w:color w:val="1F1F1F"/>
        </w:rPr>
        <w:t xml:space="preserve">The treatment success rates of 80.9% in 2024 and 80.5% in 2025 indicate that approximately 20% of diagnosed patients do not reach successful cure or treatment completion. Discrepancies between operational health office data and regional statistical publications point to reporting lag and inconsistent cohort reconciliation across sectors. Rapid diagnostic capacity relies on Molecular Rapid Testing (TCM / </w:t>
      </w:r>
      <w:r w:rsidRPr="002D601E">
        <w:rPr>
          <w:rFonts w:asciiTheme="majorBidi" w:hAnsiTheme="majorBidi" w:cstheme="majorBidi"/>
          <w:i/>
          <w:iCs/>
          <w:color w:val="1F1F1F"/>
          <w:bdr w:val="none" w:sz="0" w:space="0" w:color="auto" w:frame="1"/>
        </w:rPr>
        <w:t>Tes Cepat Molekuler</w:t>
      </w:r>
      <w:r w:rsidRPr="002D601E">
        <w:rPr>
          <w:rFonts w:asciiTheme="majorBidi" w:hAnsiTheme="majorBidi" w:cstheme="majorBidi"/>
          <w:color w:val="1F1F1F"/>
        </w:rPr>
        <w:t>) equipment. Currently, ten designated health facilities in Pekanbaru City are equipped with operational TCM machines:</w:t>
      </w:r>
    </w:p>
    <w:p w14:paraId="6B666335" w14:textId="77777777" w:rsidR="00C52E34" w:rsidRPr="002D601E" w:rsidRDefault="00C52E34" w:rsidP="002D601E">
      <w:pPr>
        <w:numPr>
          <w:ilvl w:val="0"/>
          <w:numId w:val="67"/>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RSUD Arifin Achmad (Provincial Referral Hospital)</w:t>
      </w:r>
    </w:p>
    <w:p w14:paraId="51F8D81F" w14:textId="77777777" w:rsidR="00C52E34" w:rsidRPr="002D601E" w:rsidRDefault="00C52E34" w:rsidP="002D601E">
      <w:pPr>
        <w:numPr>
          <w:ilvl w:val="0"/>
          <w:numId w:val="67"/>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Puskesmas Rumbai</w:t>
      </w:r>
    </w:p>
    <w:p w14:paraId="5287FE71" w14:textId="77777777" w:rsidR="00C52E34" w:rsidRPr="002D601E" w:rsidRDefault="00C52E34" w:rsidP="002D601E">
      <w:pPr>
        <w:numPr>
          <w:ilvl w:val="0"/>
          <w:numId w:val="67"/>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Puskesmas Melur</w:t>
      </w:r>
    </w:p>
    <w:p w14:paraId="46392571" w14:textId="77777777" w:rsidR="00C52E34" w:rsidRPr="002D601E" w:rsidRDefault="00C52E34" w:rsidP="002D601E">
      <w:pPr>
        <w:numPr>
          <w:ilvl w:val="0"/>
          <w:numId w:val="67"/>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Puskesmas Simpang Tiga</w:t>
      </w:r>
    </w:p>
    <w:p w14:paraId="195E4B93" w14:textId="77777777" w:rsidR="00C52E34" w:rsidRPr="002D601E" w:rsidRDefault="00C52E34" w:rsidP="002D601E">
      <w:pPr>
        <w:numPr>
          <w:ilvl w:val="0"/>
          <w:numId w:val="67"/>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Puskesmas Pekanbaru Kota</w:t>
      </w:r>
    </w:p>
    <w:p w14:paraId="518612FA" w14:textId="77777777" w:rsidR="00C52E34" w:rsidRPr="002D601E" w:rsidRDefault="00C52E34" w:rsidP="002D601E">
      <w:pPr>
        <w:numPr>
          <w:ilvl w:val="0"/>
          <w:numId w:val="67"/>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Puskesmas Payung Sekaki</w:t>
      </w:r>
    </w:p>
    <w:p w14:paraId="1F92F317" w14:textId="77777777" w:rsidR="00C52E34" w:rsidRPr="002D601E" w:rsidRDefault="00C52E34" w:rsidP="002D601E">
      <w:pPr>
        <w:numPr>
          <w:ilvl w:val="0"/>
          <w:numId w:val="67"/>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Puskesmas Harapan Raya</w:t>
      </w:r>
    </w:p>
    <w:p w14:paraId="63846CE7" w14:textId="77777777" w:rsidR="00C52E34" w:rsidRPr="002D601E" w:rsidRDefault="00C52E34" w:rsidP="002D601E">
      <w:pPr>
        <w:numPr>
          <w:ilvl w:val="0"/>
          <w:numId w:val="67"/>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Puskesmas Rejosari</w:t>
      </w:r>
    </w:p>
    <w:p w14:paraId="6A52D8EB" w14:textId="77777777" w:rsidR="00C52E34" w:rsidRPr="002D601E" w:rsidRDefault="00C52E34" w:rsidP="002D601E">
      <w:pPr>
        <w:numPr>
          <w:ilvl w:val="0"/>
          <w:numId w:val="67"/>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RSD Madani (City Regional Hospital)</w:t>
      </w:r>
    </w:p>
    <w:p w14:paraId="0758AB02" w14:textId="77777777" w:rsidR="00C52E34" w:rsidRPr="002D601E" w:rsidRDefault="00C52E34" w:rsidP="002D601E">
      <w:pPr>
        <w:numPr>
          <w:ilvl w:val="0"/>
          <w:numId w:val="67"/>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Puskesmas Sidomulyo RJ</w:t>
      </w:r>
    </w:p>
    <w:p w14:paraId="6FA513F6" w14:textId="77777777" w:rsidR="00C52E34" w:rsidRPr="002D601E" w:rsidRDefault="00C52E34" w:rsidP="002D601E">
      <w:pPr>
        <w:spacing w:after="0" w:line="240" w:lineRule="auto"/>
        <w:ind w:firstLine="567"/>
        <w:jc w:val="both"/>
        <w:rPr>
          <w:rFonts w:asciiTheme="majorBidi" w:hAnsiTheme="majorBidi" w:cstheme="majorBidi"/>
          <w:color w:val="1F1F1F"/>
        </w:rPr>
      </w:pPr>
      <w:r w:rsidRPr="002D601E">
        <w:rPr>
          <w:rFonts w:asciiTheme="majorBidi" w:hAnsiTheme="majorBidi" w:cstheme="majorBidi"/>
          <w:color w:val="1F1F1F"/>
        </w:rPr>
        <w:t>Not all sub-districts possess direct access to TCM equipment within their immediate administrative boundaries, creating diagnostic bottlenecks and sample transport delays. In summary, a gap exists between the policy goals of Presidential Regulation No. 67 of 2021 and Pekanbaru Mayor Regulation No. 30 of 2023 versus field reality. To evaluate these execution barriers, this study utilizes George C. Edward III’s policy implementation theory, analyzing four critical policy determinants: Communication, Resources, Disposition, and Bureaucratic Structure. Based on the background outlined above, the research problems are formulated as follows:</w:t>
      </w:r>
    </w:p>
    <w:p w14:paraId="2AFBB2F7" w14:textId="77777777" w:rsidR="00C52E34" w:rsidRPr="002D601E" w:rsidRDefault="00C52E34" w:rsidP="002D601E">
      <w:pPr>
        <w:numPr>
          <w:ilvl w:val="0"/>
          <w:numId w:val="68"/>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How is the implementation of the Tuberculosis control policy in Pekanbaru City evaluated from the aspects of communication, resources, disposition, and bureaucratic structure?</w:t>
      </w:r>
    </w:p>
    <w:p w14:paraId="150D651B" w14:textId="77777777" w:rsidR="00C52E34" w:rsidRPr="002D601E" w:rsidRDefault="00C52E34" w:rsidP="002D601E">
      <w:pPr>
        <w:numPr>
          <w:ilvl w:val="0"/>
          <w:numId w:val="68"/>
        </w:numPr>
        <w:tabs>
          <w:tab w:val="clear" w:pos="720"/>
        </w:tabs>
        <w:spacing w:after="0" w:line="240" w:lineRule="auto"/>
        <w:ind w:left="284" w:hanging="284"/>
        <w:jc w:val="both"/>
        <w:rPr>
          <w:rFonts w:asciiTheme="majorBidi" w:hAnsiTheme="majorBidi" w:cstheme="majorBidi"/>
          <w:color w:val="1F1F1F"/>
        </w:rPr>
      </w:pPr>
      <w:r w:rsidRPr="002D601E">
        <w:rPr>
          <w:rFonts w:asciiTheme="majorBidi" w:hAnsiTheme="majorBidi" w:cstheme="majorBidi"/>
          <w:color w:val="1F1F1F"/>
        </w:rPr>
        <w:t>What are the key determinant factors hindering the implementation of the Tuberculosis control policy in Pekanbaru City?</w:t>
      </w:r>
    </w:p>
    <w:p w14:paraId="4BD18F1E" w14:textId="77777777" w:rsidR="00F3601A" w:rsidRPr="00CC4A90" w:rsidRDefault="00F3601A" w:rsidP="00F3601A">
      <w:pPr>
        <w:spacing w:after="0" w:line="240" w:lineRule="auto"/>
        <w:ind w:firstLine="567"/>
        <w:jc w:val="both"/>
        <w:rPr>
          <w:rFonts w:ascii="Times New Roman" w:hAnsi="Times New Roman" w:cs="Times New Roman"/>
          <w:lang w:val="en"/>
        </w:rPr>
      </w:pPr>
    </w:p>
    <w:p w14:paraId="0D36BD03" w14:textId="77777777" w:rsidR="006D61CF" w:rsidRPr="006D61CF" w:rsidRDefault="00912F13" w:rsidP="00C00488">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620E5D">
        <w:rPr>
          <w:rFonts w:asciiTheme="majorBidi" w:hAnsiTheme="majorBidi" w:cstheme="majorBidi"/>
          <w:b/>
          <w:color w:val="000000"/>
          <w:sz w:val="24"/>
          <w:szCs w:val="24"/>
        </w:rPr>
        <w:t>RESEARCH METHOD</w:t>
      </w:r>
    </w:p>
    <w:p w14:paraId="2CEE41B6" w14:textId="227B178E" w:rsidR="002D601E" w:rsidRPr="002D601E" w:rsidRDefault="002D601E" w:rsidP="002D601E">
      <w:pPr>
        <w:pStyle w:val="NormalWeb"/>
        <w:spacing w:after="0" w:line="240" w:lineRule="auto"/>
        <w:ind w:firstLine="567"/>
        <w:jc w:val="both"/>
        <w:rPr>
          <w:rFonts w:asciiTheme="majorBidi" w:hAnsiTheme="majorBidi" w:cstheme="majorBidi"/>
          <w:sz w:val="22"/>
          <w:szCs w:val="22"/>
        </w:rPr>
      </w:pPr>
      <w:r w:rsidRPr="002D601E">
        <w:rPr>
          <w:rFonts w:asciiTheme="majorBidi" w:hAnsiTheme="majorBidi" w:cstheme="majorBidi"/>
          <w:sz w:val="22"/>
          <w:szCs w:val="22"/>
        </w:rPr>
        <w:t xml:space="preserve">This study adopts a qualitative case study design to examine real-world interactions and the systematic progression of events surrounding policy execution (Abdussamad, 2021). The focus is placed on evaluating the implementation of Tuberculosis (TB) control policy in Pekanbaru City, as </w:t>
      </w:r>
      <w:r w:rsidRPr="002D601E">
        <w:rPr>
          <w:rFonts w:asciiTheme="majorBidi" w:hAnsiTheme="majorBidi" w:cstheme="majorBidi"/>
          <w:sz w:val="22"/>
          <w:szCs w:val="22"/>
        </w:rPr>
        <w:lastRenderedPageBreak/>
        <w:t>mandated by Presidential Regulation No. 67 of 2021. The analytical framework is grounded in George C. Edward III's policy implementation theory, which evaluates four key variables:</w:t>
      </w:r>
    </w:p>
    <w:p w14:paraId="4B5B9EFC" w14:textId="77777777" w:rsidR="002D601E" w:rsidRPr="002D601E" w:rsidRDefault="002D601E" w:rsidP="002D601E">
      <w:pPr>
        <w:pStyle w:val="NormalWeb"/>
        <w:numPr>
          <w:ilvl w:val="0"/>
          <w:numId w:val="69"/>
        </w:numPr>
        <w:tabs>
          <w:tab w:val="clear" w:pos="720"/>
        </w:tabs>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Communication: Message clarity, consistency, and how policies are transmitted to implementers and target groups.</w:t>
      </w:r>
    </w:p>
    <w:p w14:paraId="14EF0869" w14:textId="77777777" w:rsidR="002D601E" w:rsidRPr="002D601E" w:rsidRDefault="002D601E" w:rsidP="002D601E">
      <w:pPr>
        <w:pStyle w:val="NormalWeb"/>
        <w:numPr>
          <w:ilvl w:val="0"/>
          <w:numId w:val="69"/>
        </w:numPr>
        <w:tabs>
          <w:tab w:val="clear" w:pos="720"/>
        </w:tabs>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Resources: Availability of qualified personnel, budgetary allocation, equipment, infrastructure, and legal authority.</w:t>
      </w:r>
    </w:p>
    <w:p w14:paraId="312255F9" w14:textId="77777777" w:rsidR="002D601E" w:rsidRPr="002D601E" w:rsidRDefault="002D601E" w:rsidP="002D601E">
      <w:pPr>
        <w:pStyle w:val="NormalWeb"/>
        <w:numPr>
          <w:ilvl w:val="0"/>
          <w:numId w:val="69"/>
        </w:numPr>
        <w:tabs>
          <w:tab w:val="clear" w:pos="720"/>
        </w:tabs>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Disposition: Implementation attitudes, commitment, and willingness of actors to execute the policy.</w:t>
      </w:r>
    </w:p>
    <w:p w14:paraId="0D490348" w14:textId="77777777" w:rsidR="002D601E" w:rsidRPr="002D601E" w:rsidRDefault="002D601E" w:rsidP="002D601E">
      <w:pPr>
        <w:pStyle w:val="NormalWeb"/>
        <w:numPr>
          <w:ilvl w:val="0"/>
          <w:numId w:val="69"/>
        </w:numPr>
        <w:tabs>
          <w:tab w:val="clear" w:pos="720"/>
        </w:tabs>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Bureaucratic Structure: Standard operating procedures (SOPs) and organizational coordination across health agencies.</w:t>
      </w:r>
    </w:p>
    <w:p w14:paraId="450FA21E" w14:textId="77777777" w:rsidR="002D601E" w:rsidRPr="002D601E" w:rsidRDefault="002D601E" w:rsidP="002D601E">
      <w:pPr>
        <w:pStyle w:val="NormalWeb"/>
        <w:spacing w:after="0" w:line="240" w:lineRule="auto"/>
        <w:ind w:firstLine="567"/>
        <w:jc w:val="both"/>
        <w:rPr>
          <w:rFonts w:asciiTheme="majorBidi" w:hAnsiTheme="majorBidi" w:cstheme="majorBidi"/>
          <w:sz w:val="22"/>
          <w:szCs w:val="22"/>
        </w:rPr>
      </w:pPr>
      <w:r w:rsidRPr="002D601E">
        <w:rPr>
          <w:rFonts w:asciiTheme="majorBidi" w:hAnsiTheme="majorBidi" w:cstheme="majorBidi"/>
          <w:sz w:val="22"/>
          <w:szCs w:val="22"/>
        </w:rPr>
        <w:t>Research was conducted at the Pekanbaru City Health Office (Bencah Lesung Building, Tenayan Raya Sub-district), regional hospitals, and designated Community Health Centers (</w:t>
      </w:r>
      <w:r w:rsidRPr="002D601E">
        <w:rPr>
          <w:rFonts w:asciiTheme="majorBidi" w:hAnsiTheme="majorBidi" w:cstheme="majorBidi"/>
          <w:i/>
          <w:iCs/>
          <w:sz w:val="22"/>
          <w:szCs w:val="22"/>
        </w:rPr>
        <w:t>Puskesmas</w:t>
      </w:r>
      <w:r w:rsidRPr="002D601E">
        <w:rPr>
          <w:rFonts w:asciiTheme="majorBidi" w:hAnsiTheme="majorBidi" w:cstheme="majorBidi"/>
          <w:sz w:val="22"/>
          <w:szCs w:val="22"/>
        </w:rPr>
        <w:t xml:space="preserve">) equipped with Molecular Rapid Testing (TCM) laboratories. Pekanbaru City was selected because it actively implements national TB directives, faces ongoing challenges in reaching local elimination targets, involves complex multi-stakeholder operations, and aligns with George C. Edward III’s analytical criteria. </w:t>
      </w:r>
    </w:p>
    <w:p w14:paraId="03CB4540" w14:textId="77777777" w:rsidR="002D601E" w:rsidRPr="002D601E" w:rsidRDefault="002D601E" w:rsidP="002D601E">
      <w:pPr>
        <w:pStyle w:val="NormalWeb"/>
        <w:spacing w:after="0" w:line="240" w:lineRule="auto"/>
        <w:ind w:firstLine="567"/>
        <w:jc w:val="both"/>
        <w:rPr>
          <w:rFonts w:asciiTheme="majorBidi" w:hAnsiTheme="majorBidi" w:cstheme="majorBidi"/>
          <w:sz w:val="22"/>
          <w:szCs w:val="22"/>
        </w:rPr>
      </w:pPr>
      <w:r w:rsidRPr="002D601E">
        <w:rPr>
          <w:rFonts w:asciiTheme="majorBidi" w:hAnsiTheme="majorBidi" w:cstheme="majorBidi"/>
          <w:sz w:val="22"/>
          <w:szCs w:val="22"/>
        </w:rPr>
        <w:t>Informants were selected through purposive sampling (Hidir et.al, 2024) based on their direct involvement, technical knowledge, and experiential background in local TB policy execution (Sugiyono, 2017). They are classified into three roles:</w:t>
      </w:r>
    </w:p>
    <w:p w14:paraId="282C4E64" w14:textId="77777777" w:rsidR="002D601E" w:rsidRPr="002D601E" w:rsidRDefault="002D601E" w:rsidP="002D601E">
      <w:pPr>
        <w:pStyle w:val="NormalWeb"/>
        <w:numPr>
          <w:ilvl w:val="0"/>
          <w:numId w:val="70"/>
        </w:numPr>
        <w:tabs>
          <w:tab w:val="clear" w:pos="720"/>
        </w:tabs>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Key Informant: Technical Official for TB Prevention and Control at the Pekanbaru City Health Office, providing high-level strategy, epidemiological data, and overall field management perspectives.</w:t>
      </w:r>
    </w:p>
    <w:p w14:paraId="46C81743" w14:textId="77777777" w:rsidR="002D601E" w:rsidRPr="002D601E" w:rsidRDefault="002D601E" w:rsidP="002D601E">
      <w:pPr>
        <w:pStyle w:val="NormalWeb"/>
        <w:numPr>
          <w:ilvl w:val="0"/>
          <w:numId w:val="70"/>
        </w:numPr>
        <w:tabs>
          <w:tab w:val="clear" w:pos="720"/>
        </w:tabs>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Main Informants: Personnel directly executing clinical and field tasks, including the TB Person in Charge (PIC) at RSD Madani, as well as TB PICs and Community Cadres at Puskesmas Simpang Tiga and Puskesmas Pekanbaru Kota.</w:t>
      </w:r>
    </w:p>
    <w:p w14:paraId="05314361" w14:textId="77777777" w:rsidR="002D601E" w:rsidRPr="002D601E" w:rsidRDefault="002D601E" w:rsidP="002D601E">
      <w:pPr>
        <w:pStyle w:val="NormalWeb"/>
        <w:numPr>
          <w:ilvl w:val="0"/>
          <w:numId w:val="70"/>
        </w:numPr>
        <w:tabs>
          <w:tab w:val="clear" w:pos="720"/>
        </w:tabs>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Supporting Informants: Individuals providing complementary perspectives, including active TB patients, private health clinic staff, general community members, and community-based advocacy representatives (PKBI Pekanbaru).</w:t>
      </w:r>
    </w:p>
    <w:p w14:paraId="4DF29224" w14:textId="77777777" w:rsidR="002D601E" w:rsidRPr="002D601E" w:rsidRDefault="002D601E" w:rsidP="002D601E">
      <w:pPr>
        <w:pStyle w:val="NormalWeb"/>
        <w:spacing w:after="0" w:line="240" w:lineRule="auto"/>
        <w:ind w:firstLine="567"/>
        <w:jc w:val="both"/>
        <w:rPr>
          <w:rFonts w:asciiTheme="majorBidi" w:hAnsiTheme="majorBidi" w:cstheme="majorBidi"/>
          <w:sz w:val="22"/>
          <w:szCs w:val="22"/>
        </w:rPr>
      </w:pPr>
      <w:r w:rsidRPr="002D601E">
        <w:rPr>
          <w:rFonts w:asciiTheme="majorBidi" w:hAnsiTheme="majorBidi" w:cstheme="majorBidi"/>
          <w:sz w:val="22"/>
          <w:szCs w:val="22"/>
        </w:rPr>
        <w:t>Data is processed using the interactive qualitative analysis model developed by Miles and Huberman (Sugiyono, 2017), which progresses through four interrelated stages:</w:t>
      </w:r>
    </w:p>
    <w:p w14:paraId="6DDD47DE" w14:textId="77777777" w:rsidR="002D601E" w:rsidRPr="002D601E" w:rsidRDefault="002D601E" w:rsidP="002D601E">
      <w:pPr>
        <w:pStyle w:val="NormalWeb"/>
        <w:numPr>
          <w:ilvl w:val="0"/>
          <w:numId w:val="71"/>
        </w:numPr>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 xml:space="preserve">Data Collection: Systematically organizing raw narratives and observational logs gathered from field interviews and document reviews. </w:t>
      </w:r>
    </w:p>
    <w:p w14:paraId="5D1AF2DA" w14:textId="77777777" w:rsidR="002D601E" w:rsidRPr="002D601E" w:rsidRDefault="002D601E" w:rsidP="002D601E">
      <w:pPr>
        <w:pStyle w:val="NormalWeb"/>
        <w:numPr>
          <w:ilvl w:val="0"/>
          <w:numId w:val="71"/>
        </w:numPr>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Data Reduction: Categorizing, abstracting, and filtering raw qualitative data to highlight essential points while eliminating non-essential details.</w:t>
      </w:r>
    </w:p>
    <w:p w14:paraId="6DE381EA" w14:textId="77777777" w:rsidR="002D601E" w:rsidRPr="002D601E" w:rsidRDefault="002D601E" w:rsidP="002D601E">
      <w:pPr>
        <w:pStyle w:val="NormalWeb"/>
        <w:numPr>
          <w:ilvl w:val="0"/>
          <w:numId w:val="71"/>
        </w:numPr>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Data Display: Compiling reduced qualitative information into coherent narrative summaries and structured displays for logical interpretation.</w:t>
      </w:r>
    </w:p>
    <w:p w14:paraId="4BFBDD5A" w14:textId="77777777" w:rsidR="002D601E" w:rsidRPr="002D601E" w:rsidRDefault="002D601E" w:rsidP="002D601E">
      <w:pPr>
        <w:pStyle w:val="NormalWeb"/>
        <w:numPr>
          <w:ilvl w:val="0"/>
          <w:numId w:val="71"/>
        </w:numPr>
        <w:spacing w:after="0" w:line="240" w:lineRule="auto"/>
        <w:ind w:left="284" w:hanging="284"/>
        <w:jc w:val="both"/>
        <w:rPr>
          <w:rFonts w:asciiTheme="majorBidi" w:hAnsiTheme="majorBidi" w:cstheme="majorBidi"/>
          <w:sz w:val="22"/>
          <w:szCs w:val="22"/>
        </w:rPr>
      </w:pPr>
      <w:r w:rsidRPr="002D601E">
        <w:rPr>
          <w:rFonts w:asciiTheme="majorBidi" w:hAnsiTheme="majorBidi" w:cstheme="majorBidi"/>
          <w:sz w:val="22"/>
          <w:szCs w:val="22"/>
        </w:rPr>
        <w:t>Conclusion Drawing / Verification: Formulating clear, validated conclusions to address the research questions and synthesize the study's policy implementation findings (Malik et.al 2025).</w:t>
      </w:r>
    </w:p>
    <w:p w14:paraId="2480000A" w14:textId="18679C8A" w:rsidR="00FC0F61" w:rsidRPr="002D601E" w:rsidRDefault="002D601E" w:rsidP="002D601E">
      <w:pPr>
        <w:pStyle w:val="BodyText"/>
        <w:ind w:firstLine="567"/>
        <w:jc w:val="both"/>
        <w:rPr>
          <w:sz w:val="22"/>
          <w:szCs w:val="22"/>
        </w:rPr>
      </w:pPr>
      <w:r w:rsidRPr="002D601E">
        <w:rPr>
          <w:sz w:val="22"/>
          <w:szCs w:val="22"/>
        </w:rPr>
        <w:t>The implementation of the Tuberculosis (TB) control policy in Pekanbaru City refers to Mayor Regulation Number 30 of 2023 and is analyzed using George C. Edward III's four determinants of successful policy implementation: communication, resources, disposition, and bureaucratic structure, as well as identifying inhibiting factors in the field.</w:t>
      </w:r>
    </w:p>
    <w:p w14:paraId="0E913BE5" w14:textId="2AA5976E" w:rsidR="0016272F" w:rsidRPr="00522707" w:rsidRDefault="0016272F" w:rsidP="00522707">
      <w:pPr>
        <w:pStyle w:val="NoSpacing"/>
        <w:ind w:firstLine="567"/>
        <w:jc w:val="both"/>
        <w:rPr>
          <w:rFonts w:ascii="Times New Roman" w:hAnsi="Times New Roman" w:cs="Times New Roman"/>
          <w:kern w:val="2"/>
          <w:lang w:val="en"/>
          <w14:ligatures w14:val="standardContextual"/>
        </w:rPr>
      </w:pPr>
    </w:p>
    <w:p w14:paraId="1AE254CF" w14:textId="77777777" w:rsidR="00F12133" w:rsidRPr="00522707" w:rsidRDefault="00546B22" w:rsidP="0052270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522707">
        <w:rPr>
          <w:rFonts w:ascii="Times New Roman" w:eastAsia="Times New Roman" w:hAnsi="Times New Roman" w:cs="Times New Roman"/>
          <w:b/>
        </w:rPr>
        <w:t>RESULT AND DISCCUSSION</w:t>
      </w:r>
    </w:p>
    <w:p w14:paraId="1E75A04E" w14:textId="627B8B83" w:rsidR="002D601E" w:rsidRPr="002D601E" w:rsidRDefault="002D601E" w:rsidP="002D601E">
      <w:pPr>
        <w:pStyle w:val="Heading3"/>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1. Communication</w:t>
      </w:r>
    </w:p>
    <w:p w14:paraId="2193A35C"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 xml:space="preserve">Effective communication is fundamental so that policy implementers understand targets and technical steps, as well as ensuring that the target group understands the TB control policy. Communication transmission in the TB program in Pekanbaru City occurs vertically (from the central government down to healthcare facilities) and horizontally (between healthcare facilities, cadres, and the community). Policy dissemination utilizes digital media such as WhatsApp groups, official emails, </w:t>
      </w:r>
      <w:r w:rsidRPr="002D601E">
        <w:rPr>
          <w:sz w:val="22"/>
          <w:szCs w:val="22"/>
        </w:rPr>
        <w:lastRenderedPageBreak/>
        <w:t>Zoom meetings, and the Tuberculosis Information System (SITB). The Pekanbaru City Health Office acts as the primary bridge connecting central policies to all healthcare facilities (</w:t>
      </w:r>
      <w:r w:rsidRPr="002D601E">
        <w:rPr>
          <w:i/>
          <w:iCs/>
          <w:sz w:val="22"/>
          <w:szCs w:val="22"/>
        </w:rPr>
        <w:t>faskes</w:t>
      </w:r>
      <w:r w:rsidRPr="002D601E">
        <w:rPr>
          <w:sz w:val="22"/>
          <w:szCs w:val="22"/>
        </w:rPr>
        <w:t>).</w:t>
      </w:r>
    </w:p>
    <w:p w14:paraId="37EEBDCA"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"In conveying policies or the flow of the TB program, it comes directly from the central government, then we convey it through a WhatsApp group containing the TB person in charge, the TB Clinic person in charge, and the TB analyst person in charge. Usually, if there is a decision letter from the center that needs to be filtered—meaning it needs to be screened before being conveyed to healthcare services—we draft a new letter with the City Health Office letterhead and distribute it based on that central letter." </w:t>
      </w:r>
      <w:r w:rsidRPr="002D601E">
        <w:rPr>
          <w:b/>
          <w:bCs/>
          <w:sz w:val="22"/>
          <w:szCs w:val="22"/>
        </w:rPr>
        <w:t>ATM.</w:t>
      </w:r>
      <w:r w:rsidRPr="002D601E">
        <w:rPr>
          <w:sz w:val="22"/>
          <w:szCs w:val="22"/>
        </w:rPr>
        <w:t xml:space="preserve"> (Tuberculosis Technical Official, Pekanbaru City Health Office, November 14, 2025)</w:t>
      </w:r>
    </w:p>
    <w:p w14:paraId="5CF3BF27"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At the hospital level, coordination is conducted quickly through digital media and institutional emails:</w:t>
      </w:r>
    </w:p>
    <w:p w14:paraId="0DF93408"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"When it comes to TB policy, we usually send official letters, but since technology has advanced, official correspondence is done via hospital email. We have a WhatsApp group with all hospitals, community health centers (Puskesmas), and clinics servicing TB in the Pekanbaru City coverage area, along with the TB Technical Official (TO TB) from the Pekanbaru City Health Office as an efficient communication medium to obtain information that connects many people quickly." </w:t>
      </w:r>
      <w:r w:rsidRPr="002D601E">
        <w:rPr>
          <w:sz w:val="22"/>
          <w:szCs w:val="22"/>
        </w:rPr>
        <w:t xml:space="preserve"> </w:t>
      </w:r>
      <w:r w:rsidRPr="002D601E">
        <w:rPr>
          <w:b/>
          <w:bCs/>
          <w:sz w:val="22"/>
          <w:szCs w:val="22"/>
        </w:rPr>
        <w:t>SS</w:t>
      </w:r>
      <w:r w:rsidRPr="002D601E">
        <w:rPr>
          <w:sz w:val="22"/>
          <w:szCs w:val="22"/>
        </w:rPr>
        <w:t xml:space="preserve"> (Person in Charge of the TB Clinic at RSD Madani, December 23, 2025)</w:t>
      </w:r>
    </w:p>
    <w:p w14:paraId="2C4DC9DC"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Real-time patient reporting and data monitoring are integrated through the SITB application from the health facility level up to the national level:</w:t>
      </w:r>
    </w:p>
    <w:p w14:paraId="3F45C42E"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"The mechanism for reporting TB data from Puskesmas to the Health Office is through an application developed by the Ministry of Health of the Republic of Indonesia, namely the Tuberculosis Information System (SITB), which records, reports, and manages TB patient data in real-time and individually. SITB simplifies case tracking, drug logistics, and laboratory processing from the health facility level to the national level." </w:t>
      </w:r>
      <w:r w:rsidRPr="002D601E">
        <w:rPr>
          <w:b/>
          <w:bCs/>
          <w:sz w:val="22"/>
          <w:szCs w:val="22"/>
        </w:rPr>
        <w:t>ATM.</w:t>
      </w:r>
      <w:r w:rsidRPr="002D601E">
        <w:rPr>
          <w:sz w:val="22"/>
          <w:szCs w:val="22"/>
        </w:rPr>
        <w:t xml:space="preserve"> (November 14, 2025)</w:t>
      </w:r>
    </w:p>
    <w:p w14:paraId="7283E895"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Despite budget efficiency measures from the Global Fund, monthly evaluation forums such as the Monthly Interim Cohort Analysis (MICA) for Drug-Resistant TB (DR-TB) patients continue online via Zoom meetings:</w:t>
      </w:r>
    </w:p>
    <w:p w14:paraId="497E8E18"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"Previously, meetings were funded by the Global Fund, but now with budget cuts from the Global Fund, meetings are still held via Zoom. We call it MICA (Monthly Interim Cohort Analysis), which usually discusses patient conditions and is attended by representatives from the City Health Office." </w:t>
      </w:r>
      <w:r w:rsidRPr="002D601E">
        <w:rPr>
          <w:sz w:val="22"/>
          <w:szCs w:val="22"/>
        </w:rPr>
        <w:t xml:space="preserve"> </w:t>
      </w:r>
      <w:r w:rsidRPr="002D601E">
        <w:rPr>
          <w:b/>
          <w:bCs/>
          <w:sz w:val="22"/>
          <w:szCs w:val="22"/>
        </w:rPr>
        <w:t>SS</w:t>
      </w:r>
      <w:r w:rsidRPr="002D601E">
        <w:rPr>
          <w:sz w:val="22"/>
          <w:szCs w:val="22"/>
        </w:rPr>
        <w:t xml:space="preserve"> (December 23, 2025)</w:t>
      </w:r>
    </w:p>
    <w:p w14:paraId="171E1333"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"Of course, we use various communication methods. For formal communication, we usually hold routine coordination meetings. These are conducted through activities supported by Global Fund budget itself, such as data validation activities and coordination between the community, health facilities, and the Pekanbaru City Health Office." </w:t>
      </w:r>
      <w:r w:rsidRPr="002D601E">
        <w:rPr>
          <w:sz w:val="22"/>
          <w:szCs w:val="22"/>
        </w:rPr>
        <w:t xml:space="preserve"> </w:t>
      </w:r>
      <w:r w:rsidRPr="002D601E">
        <w:rPr>
          <w:b/>
          <w:bCs/>
          <w:sz w:val="22"/>
          <w:szCs w:val="22"/>
        </w:rPr>
        <w:t>BR</w:t>
      </w:r>
      <w:r w:rsidRPr="002D601E">
        <w:rPr>
          <w:sz w:val="22"/>
          <w:szCs w:val="22"/>
        </w:rPr>
        <w:t xml:space="preserve"> (Person in Charge of Community TB at PKBI, November 25, 2025)</w:t>
      </w:r>
    </w:p>
    <w:p w14:paraId="77D35541"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At the Puskesmas level, communication with community health cadres is conducted directly or via phone/WhatsApp for managing new cases and monitoring treatment compliance:</w:t>
      </w:r>
    </w:p>
    <w:p w14:paraId="017A94A1"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"To coordinate cadres with officers, if there is a new case, we usually contact the cadres via phone or WhatsApp for contact tracing and treatment monitoring. Sometimes, cadres also take the initiative to come directly to the Puskesmas to discuss with the staff here." </w:t>
      </w:r>
      <w:r w:rsidRPr="002D601E">
        <w:rPr>
          <w:sz w:val="22"/>
          <w:szCs w:val="22"/>
        </w:rPr>
        <w:t xml:space="preserve"> </w:t>
      </w:r>
      <w:r w:rsidRPr="002D601E">
        <w:rPr>
          <w:b/>
          <w:bCs/>
          <w:sz w:val="22"/>
          <w:szCs w:val="22"/>
        </w:rPr>
        <w:t>NH</w:t>
      </w:r>
      <w:r w:rsidRPr="002D601E">
        <w:rPr>
          <w:sz w:val="22"/>
          <w:szCs w:val="22"/>
        </w:rPr>
        <w:t xml:space="preserve"> (Person in Charge of TB at Simpang Tiga Puskesmas, November 6, 2025)</w:t>
      </w:r>
    </w:p>
    <w:p w14:paraId="56A49B43" w14:textId="77777777" w:rsidR="002D601E" w:rsidRPr="002D601E" w:rsidRDefault="002D601E" w:rsidP="002D601E">
      <w:pPr>
        <w:pStyle w:val="Heading4"/>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2. Communication Clarity</w:t>
      </w:r>
    </w:p>
    <w:p w14:paraId="03E52AB8"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The clarity of information from the Health Office is achieved through a filtering process of central policies so they are easily understood by field implementers. Public outreach is fully delegated to Puskesmas, hospitals, and cadres through routine activities or educational media (brochures, posters, cough etiquette banners, and Healthy and Clean Behavior/PHBS materials).</w:t>
      </w:r>
    </w:p>
    <w:p w14:paraId="09A47777"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"It is fully handed over to the Puskesmas, and the Puskesmas schedules educational sessions for visitors attending the facility." </w:t>
      </w:r>
      <w:r w:rsidRPr="002D601E">
        <w:rPr>
          <w:b/>
          <w:bCs/>
          <w:sz w:val="22"/>
          <w:szCs w:val="22"/>
        </w:rPr>
        <w:t xml:space="preserve">ATM </w:t>
      </w:r>
      <w:r w:rsidRPr="002D601E">
        <w:rPr>
          <w:sz w:val="22"/>
          <w:szCs w:val="22"/>
        </w:rPr>
        <w:t>(November 14, 2025)</w:t>
      </w:r>
    </w:p>
    <w:p w14:paraId="21B3BC48" w14:textId="77777777" w:rsidR="002D601E" w:rsidRDefault="002D601E" w:rsidP="002D601E">
      <w:pPr>
        <w:pStyle w:val="NormalWeb"/>
        <w:spacing w:after="0" w:line="240" w:lineRule="auto"/>
        <w:jc w:val="both"/>
        <w:rPr>
          <w:sz w:val="22"/>
          <w:szCs w:val="22"/>
        </w:rPr>
      </w:pPr>
    </w:p>
    <w:p w14:paraId="0587C090" w14:textId="25B4BC97" w:rsidR="002D601E" w:rsidRPr="002D601E" w:rsidRDefault="002D601E" w:rsidP="002D601E">
      <w:pPr>
        <w:pStyle w:val="NormalWeb"/>
        <w:spacing w:after="0" w:line="240" w:lineRule="auto"/>
        <w:jc w:val="both"/>
        <w:rPr>
          <w:sz w:val="22"/>
          <w:szCs w:val="22"/>
        </w:rPr>
      </w:pPr>
      <w:r w:rsidRPr="002D601E">
        <w:rPr>
          <w:sz w:val="22"/>
          <w:szCs w:val="22"/>
        </w:rPr>
        <w:lastRenderedPageBreak/>
        <w:t>Other Puskesmas utilize field internship students to provide ad-hoc education:</w:t>
      </w:r>
    </w:p>
    <w:p w14:paraId="43F30DDC"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"Outreach definitely exists, also located at this Puskesmas, but we give internship students doing their field work the opportunity to conduct educational sessions according to their schedule." </w:t>
      </w:r>
      <w:r w:rsidRPr="002D601E">
        <w:rPr>
          <w:sz w:val="22"/>
          <w:szCs w:val="22"/>
        </w:rPr>
        <w:t xml:space="preserve"> </w:t>
      </w:r>
      <w:r w:rsidRPr="002D601E">
        <w:rPr>
          <w:b/>
          <w:bCs/>
          <w:sz w:val="22"/>
          <w:szCs w:val="22"/>
        </w:rPr>
        <w:t>HP</w:t>
      </w:r>
      <w:r w:rsidRPr="002D601E">
        <w:rPr>
          <w:sz w:val="22"/>
          <w:szCs w:val="22"/>
        </w:rPr>
        <w:t xml:space="preserve"> (Person in Charge of TB at Pekanbaru Kota Puskesmas, November 21, 2025)</w:t>
      </w:r>
    </w:p>
    <w:p w14:paraId="5E677794"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Periodic counseling is also organized by hospital health promotion teams:</w:t>
      </w:r>
    </w:p>
    <w:p w14:paraId="42634D9F"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"Yes, because every three months we usually hold counseling sessions, so there is a schedule usually arranged by the hospital's health promotion team." </w:t>
      </w:r>
      <w:r w:rsidRPr="002D601E">
        <w:rPr>
          <w:sz w:val="22"/>
          <w:szCs w:val="22"/>
        </w:rPr>
        <w:t xml:space="preserve"> </w:t>
      </w:r>
      <w:r w:rsidRPr="002D601E">
        <w:rPr>
          <w:b/>
          <w:bCs/>
          <w:sz w:val="22"/>
          <w:szCs w:val="22"/>
        </w:rPr>
        <w:t>SS</w:t>
      </w:r>
      <w:r w:rsidRPr="002D601E">
        <w:rPr>
          <w:sz w:val="22"/>
          <w:szCs w:val="22"/>
        </w:rPr>
        <w:t xml:space="preserve"> (December 23, 2025)</w:t>
      </w:r>
    </w:p>
    <w:p w14:paraId="76A592F7"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Health cadres are the main medium for delivering direct education to the community through various social and religious activities:</w:t>
      </w:r>
    </w:p>
    <w:p w14:paraId="49041580"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"To convey information, we hold counseling sessions by attending community gatherings such as PKK (Family Welfare Movement) meetings, Posyandu (Integrated Healthcare Center), religious study groups (wirid yasinan), and neighborhood gatherings. There, we explain the dangers of TB, prevention strategies, and how to maintain health to avoid contracting TB." </w:t>
      </w:r>
      <w:r w:rsidRPr="002D601E">
        <w:rPr>
          <w:sz w:val="22"/>
          <w:szCs w:val="22"/>
        </w:rPr>
        <w:t xml:space="preserve"> </w:t>
      </w:r>
      <w:r w:rsidRPr="002D601E">
        <w:rPr>
          <w:b/>
          <w:bCs/>
          <w:sz w:val="22"/>
          <w:szCs w:val="22"/>
        </w:rPr>
        <w:t>LL</w:t>
      </w:r>
      <w:r w:rsidRPr="002D601E">
        <w:rPr>
          <w:sz w:val="22"/>
          <w:szCs w:val="22"/>
        </w:rPr>
        <w:t xml:space="preserve"> (TB Cadre in Pekanbaru Kota Puskesmas Work Area, November 21, 2025)</w:t>
      </w:r>
    </w:p>
    <w:p w14:paraId="3CB9AE6F"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Patient understanding regarding the treatment process and medication guidelines is generally good:</w:t>
      </w:r>
    </w:p>
    <w:p w14:paraId="3A65B77C"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"Yes, the treatment process was explained by both the Puskesmas and the hospital, as medication collection is at the Puskesmas and examinations are at the hospital. Yes, it was easy because the Puskesmas and hospital staff explained the treatment regimen quite clearly." </w:t>
      </w:r>
      <w:r w:rsidRPr="002D601E">
        <w:rPr>
          <w:sz w:val="22"/>
          <w:szCs w:val="22"/>
        </w:rPr>
        <w:t xml:space="preserve"> </w:t>
      </w:r>
      <w:r w:rsidRPr="002D601E">
        <w:rPr>
          <w:b/>
          <w:bCs/>
          <w:sz w:val="22"/>
          <w:szCs w:val="22"/>
        </w:rPr>
        <w:t>TB Patient at RSD Madani</w:t>
      </w:r>
      <w:r w:rsidRPr="002D601E">
        <w:rPr>
          <w:sz w:val="22"/>
          <w:szCs w:val="22"/>
        </w:rPr>
        <w:t xml:space="preserve"> (December 23, 2025)</w:t>
      </w:r>
    </w:p>
    <w:p w14:paraId="6B3CDDBF"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"Yes, the explanation was clear: medications must not be taken late and must be taken continuously for six months. Yes, it was easy to understand." </w:t>
      </w:r>
      <w:r w:rsidRPr="002D601E">
        <w:rPr>
          <w:sz w:val="22"/>
          <w:szCs w:val="22"/>
        </w:rPr>
        <w:t xml:space="preserve"> </w:t>
      </w:r>
      <w:r w:rsidRPr="002D601E">
        <w:rPr>
          <w:b/>
          <w:bCs/>
          <w:sz w:val="22"/>
          <w:szCs w:val="22"/>
        </w:rPr>
        <w:t>TB Patient in Simpang Tiga Puskesmas Work Area</w:t>
      </w:r>
      <w:r w:rsidRPr="002D601E">
        <w:rPr>
          <w:sz w:val="22"/>
          <w:szCs w:val="22"/>
        </w:rPr>
        <w:t xml:space="preserve"> (November 10, 2025)</w:t>
      </w:r>
    </w:p>
    <w:p w14:paraId="1913D017"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 xml:space="preserve">Nevertheless, the reach of outreach programs is not fully even. Several patients and community members reported that they had never been exposed to TB education: </w:t>
      </w:r>
      <w:r w:rsidRPr="002D601E">
        <w:rPr>
          <w:i/>
          <w:iCs/>
          <w:sz w:val="22"/>
          <w:szCs w:val="22"/>
        </w:rPr>
        <w:t xml:space="preserve">"Not yet, I have never attended any before." </w:t>
      </w:r>
      <w:r w:rsidRPr="002D601E">
        <w:rPr>
          <w:sz w:val="22"/>
          <w:szCs w:val="22"/>
        </w:rPr>
        <w:t xml:space="preserve"> </w:t>
      </w:r>
      <w:r w:rsidRPr="002D601E">
        <w:rPr>
          <w:b/>
          <w:bCs/>
          <w:sz w:val="22"/>
          <w:szCs w:val="22"/>
        </w:rPr>
        <w:t>JFL</w:t>
      </w:r>
      <w:r w:rsidRPr="002D601E">
        <w:rPr>
          <w:sz w:val="22"/>
          <w:szCs w:val="22"/>
        </w:rPr>
        <w:t xml:space="preserve"> (TB Patient at Simpang Tiga Puskesmas, November 10, 2025)</w:t>
      </w:r>
    </w:p>
    <w:p w14:paraId="2822C4D2" w14:textId="77777777" w:rsidR="002D601E" w:rsidRPr="002D601E" w:rsidRDefault="002D601E" w:rsidP="002D601E">
      <w:pPr>
        <w:pStyle w:val="Heading4"/>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3. Communication Consistency</w:t>
      </w:r>
    </w:p>
    <w:p w14:paraId="58E5642F"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Consistency in communication is maintained through official channels and the continuous use of the integrated SITB application. For DR-TB management, the MICA forum regularly discusses detailed cases every month:</w:t>
      </w:r>
    </w:p>
    <w:p w14:paraId="73414C3E"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"Previously, meetings were funded by the Global Fund, but now with budget cuts from the Global Fund, meetings are still held via Zoom. We call it MICA (Monthly Interim Cohort Analysis), which usually discusses patient conditions... DR-TB cases are discussed every month as thoroughly as possible from initial diagnosis, when treatment started, what tests were conducted, follow-up actions, to why test results are delayed—everything is discussed one by one routinely every month." </w:t>
      </w:r>
      <w:r w:rsidRPr="002D601E">
        <w:rPr>
          <w:sz w:val="22"/>
          <w:szCs w:val="22"/>
        </w:rPr>
        <w:t xml:space="preserve"> </w:t>
      </w:r>
      <w:r w:rsidRPr="002D601E">
        <w:rPr>
          <w:b/>
          <w:bCs/>
          <w:sz w:val="22"/>
          <w:szCs w:val="22"/>
        </w:rPr>
        <w:t>SS</w:t>
      </w:r>
      <w:r w:rsidRPr="002D601E">
        <w:rPr>
          <w:sz w:val="22"/>
          <w:szCs w:val="22"/>
        </w:rPr>
        <w:t xml:space="preserve"> (December 23, 2025)</w:t>
      </w:r>
    </w:p>
    <w:p w14:paraId="2B16D951"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However, communication consistency with the public faces hurdles because outdoor outreach schedules are not systematically planned:</w:t>
      </w:r>
    </w:p>
    <w:p w14:paraId="269BB665"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"We also hold counseling sessions on TB, but the counseling itself is unscheduled and aimed at Puskesmas visitors. There is also outreach for the general public, but that is organized by Posyandu." </w:t>
      </w:r>
      <w:r w:rsidRPr="002D601E">
        <w:rPr>
          <w:sz w:val="22"/>
          <w:szCs w:val="22"/>
        </w:rPr>
        <w:t xml:space="preserve"> </w:t>
      </w:r>
      <w:r w:rsidRPr="002D601E">
        <w:rPr>
          <w:b/>
          <w:bCs/>
          <w:sz w:val="22"/>
          <w:szCs w:val="22"/>
        </w:rPr>
        <w:t>HP</w:t>
      </w:r>
      <w:r w:rsidRPr="002D601E">
        <w:rPr>
          <w:sz w:val="22"/>
          <w:szCs w:val="22"/>
        </w:rPr>
        <w:t xml:space="preserve"> (November 21, 2025)</w:t>
      </w:r>
    </w:p>
    <w:p w14:paraId="3EB0FC7C" w14:textId="77777777" w:rsidR="002D601E" w:rsidRPr="002D601E" w:rsidRDefault="002D601E" w:rsidP="002D601E">
      <w:pPr>
        <w:pStyle w:val="Heading3"/>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3. Resources</w:t>
      </w:r>
    </w:p>
    <w:p w14:paraId="26D2F8F1"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Resource availability encompasses human resources (personnel), physical facilities, technical information, and implementers' authority. The Health Office considers HR availability generally sufficient, supported by the requirement to appoint a Person in Charge (PJ) for TB at each health facility:</w:t>
      </w:r>
    </w:p>
    <w:p w14:paraId="06A4EB81"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"So far, it is sufficient, because each healthcare facility must have a person in charge of the TB program to facilitate communication in identifying suspected TB patients." </w:t>
      </w:r>
      <w:r w:rsidRPr="002D601E">
        <w:rPr>
          <w:b/>
          <w:bCs/>
          <w:sz w:val="22"/>
          <w:szCs w:val="22"/>
        </w:rPr>
        <w:t>ATM</w:t>
      </w:r>
      <w:r w:rsidRPr="002D601E">
        <w:rPr>
          <w:sz w:val="22"/>
          <w:szCs w:val="22"/>
        </w:rPr>
        <w:t xml:space="preserve"> (November 14, 2025)</w:t>
      </w:r>
    </w:p>
    <w:p w14:paraId="7FEB5EF2"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lastRenderedPageBreak/>
        <w:t>The TB team composition at Pekanbaru Kota Puskesmas is considered complete. However, staffing imbalances exist between Puskesmas, such as at Simpang Tiga Puskesmas:</w:t>
      </w:r>
    </w:p>
    <w:p w14:paraId="03A654C4"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"In my opinion, it is not yet adequate for staff managing the TB program, because here there is only a doctor and the person in charge." </w:t>
      </w:r>
      <w:r w:rsidRPr="002D601E">
        <w:rPr>
          <w:sz w:val="22"/>
          <w:szCs w:val="22"/>
        </w:rPr>
        <w:t xml:space="preserve"> </w:t>
      </w:r>
      <w:r w:rsidRPr="002D601E">
        <w:rPr>
          <w:b/>
          <w:bCs/>
          <w:sz w:val="22"/>
          <w:szCs w:val="22"/>
        </w:rPr>
        <w:t>NH</w:t>
      </w:r>
      <w:r w:rsidRPr="002D601E">
        <w:rPr>
          <w:sz w:val="22"/>
          <w:szCs w:val="22"/>
        </w:rPr>
        <w:t xml:space="preserve"> (November 6, 2025)</w:t>
      </w:r>
    </w:p>
    <w:p w14:paraId="1F0E9795"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Private facilities, such as Dilla Clinic, state that medical personnel are sufficient but have never received specialized TB management training:</w:t>
      </w:r>
    </w:p>
    <w:p w14:paraId="0DD9E156"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"So far it is sufficient, as there are doctors and midwives handling it at this clinic." </w:t>
      </w:r>
      <w:r w:rsidRPr="002D601E">
        <w:rPr>
          <w:sz w:val="22"/>
          <w:szCs w:val="22"/>
        </w:rPr>
        <w:t xml:space="preserve"> </w:t>
      </w:r>
      <w:r w:rsidRPr="002D601E">
        <w:rPr>
          <w:b/>
          <w:bCs/>
          <w:sz w:val="22"/>
          <w:szCs w:val="22"/>
        </w:rPr>
        <w:t>Person in Charge of TB at Dilla Clinic</w:t>
      </w:r>
      <w:r w:rsidRPr="002D601E">
        <w:rPr>
          <w:sz w:val="22"/>
          <w:szCs w:val="22"/>
        </w:rPr>
        <w:t xml:space="preserve"> (March 9, 2026)</w:t>
      </w:r>
    </w:p>
    <w:p w14:paraId="7AA6482D"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HR capacity training by the Health Office remains reactive, depending on regulation changes from the central government:</w:t>
      </w:r>
    </w:p>
    <w:p w14:paraId="582BDF6E"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"Yes, training is represented by the Health Office to health service facilities, both Puskesmas and hospitals. They must send the TB PJ, TB Logistics officer, TB Analyst, and management. We gather them, train them, and teach them regarding SITB reporting from patient arrival, treatment, to completion. However, training is unscheduled; it is conducted whenever there are changes or updates regarding TB mechanisms from the central level." </w:t>
      </w:r>
      <w:r w:rsidRPr="002D601E">
        <w:rPr>
          <w:b/>
          <w:bCs/>
          <w:sz w:val="22"/>
          <w:szCs w:val="22"/>
        </w:rPr>
        <w:t>ATM</w:t>
      </w:r>
      <w:r w:rsidRPr="002D601E">
        <w:rPr>
          <w:sz w:val="22"/>
          <w:szCs w:val="22"/>
        </w:rPr>
        <w:t xml:space="preserve"> (November 14, 2025)</w:t>
      </w:r>
    </w:p>
    <w:p w14:paraId="26276D2F" w14:textId="77777777" w:rsidR="002D601E" w:rsidRPr="002D601E" w:rsidRDefault="002D601E" w:rsidP="002D601E">
      <w:pPr>
        <w:pStyle w:val="Heading4"/>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4. Facilities</w:t>
      </w:r>
    </w:p>
    <w:p w14:paraId="51945EF8"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Modern diagnostic facilities such as Rapid Molecular Testing (TCM) machines have been strategically placed at key health facilities (Arifin Ahmad Regional Hospital, RSD Madani, Puskesmas Rumbai, Melur, Simpang Tiga, Pekanbaru Kota, Payung Sekaki, Harapan Raya, Rejosari, and Sidomulyo RJ). Other health facilities use a sample/patient referral network mechanism. The supply of Anti-Tuberculosis Drugs (OAT) is guaranteed and has never experienced stockouts:</w:t>
      </w:r>
    </w:p>
    <w:p w14:paraId="440C2117"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"So far it is sufficient, and there are no complaints from TB persons in charge regarding case services." </w:t>
      </w:r>
      <w:r w:rsidRPr="002D601E">
        <w:rPr>
          <w:b/>
          <w:bCs/>
          <w:sz w:val="22"/>
          <w:szCs w:val="22"/>
        </w:rPr>
        <w:t>ATM</w:t>
      </w:r>
      <w:r w:rsidRPr="002D601E">
        <w:rPr>
          <w:sz w:val="22"/>
          <w:szCs w:val="22"/>
        </w:rPr>
        <w:t xml:space="preserve"> (November 14, 2025)</w:t>
      </w:r>
    </w:p>
    <w:p w14:paraId="205E56C2"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"It is always available, miss, it has never been empty before." </w:t>
      </w:r>
      <w:r w:rsidRPr="002D601E">
        <w:rPr>
          <w:sz w:val="22"/>
          <w:szCs w:val="22"/>
        </w:rPr>
        <w:t xml:space="preserve"> </w:t>
      </w:r>
      <w:r w:rsidRPr="002D601E">
        <w:rPr>
          <w:b/>
          <w:bCs/>
          <w:sz w:val="22"/>
          <w:szCs w:val="22"/>
        </w:rPr>
        <w:t>TB Patient's Guardian at Pekanbaru Kota Puskesmas</w:t>
      </w:r>
      <w:r w:rsidRPr="002D601E">
        <w:rPr>
          <w:sz w:val="22"/>
          <w:szCs w:val="22"/>
        </w:rPr>
        <w:t xml:space="preserve"> (November 26, 2025)</w:t>
      </w:r>
    </w:p>
    <w:p w14:paraId="5E331D6D" w14:textId="77777777" w:rsidR="002D601E" w:rsidRPr="002D601E" w:rsidRDefault="002D601E" w:rsidP="002D601E">
      <w:pPr>
        <w:pStyle w:val="Heading4"/>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5. Information</w:t>
      </w:r>
    </w:p>
    <w:p w14:paraId="69FCCD57"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Information regarding technical procedures and adherence monitoring is obtained in a structured manner through the Tuberculosis Information System (SITB).</w:t>
      </w:r>
    </w:p>
    <w:p w14:paraId="225E6E48"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"In conveying policies or the flow of the TB program, it comes directly from the central government, then we convey it through a WhatsApp group... Usually if there is a decision letter from the center that needs to be filtered... we draft a new letter with the City Health Office letterhead..." </w:t>
      </w:r>
      <w:r w:rsidRPr="002D601E">
        <w:rPr>
          <w:b/>
          <w:bCs/>
          <w:sz w:val="22"/>
          <w:szCs w:val="22"/>
        </w:rPr>
        <w:t>ATM</w:t>
      </w:r>
      <w:r w:rsidRPr="002D601E">
        <w:rPr>
          <w:sz w:val="22"/>
          <w:szCs w:val="22"/>
        </w:rPr>
        <w:t xml:space="preserve"> (November 14, 2025)</w:t>
      </w:r>
    </w:p>
    <w:p w14:paraId="1BB9744F"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The SITB application has replaced manual reporting and facilitates data monitoring up to the ministry level:</w:t>
      </w:r>
    </w:p>
    <w:p w14:paraId="34AFBE5C"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"We no longer send manual reports because it is simplified through the SITB application, which has preset reporting options as long as we consistently enter complete data." </w:t>
      </w:r>
      <w:r w:rsidRPr="002D601E">
        <w:rPr>
          <w:sz w:val="22"/>
          <w:szCs w:val="22"/>
        </w:rPr>
        <w:t xml:space="preserve"> </w:t>
      </w:r>
      <w:r w:rsidRPr="002D601E">
        <w:rPr>
          <w:b/>
          <w:bCs/>
          <w:sz w:val="22"/>
          <w:szCs w:val="22"/>
        </w:rPr>
        <w:t>SS</w:t>
      </w:r>
      <w:r w:rsidRPr="002D601E">
        <w:rPr>
          <w:sz w:val="22"/>
          <w:szCs w:val="22"/>
        </w:rPr>
        <w:t xml:space="preserve"> (December 23, 2025)</w:t>
      </w:r>
    </w:p>
    <w:p w14:paraId="5526AA16" w14:textId="77777777" w:rsidR="002D601E" w:rsidRPr="002D601E" w:rsidRDefault="002D601E" w:rsidP="002D601E">
      <w:pPr>
        <w:pStyle w:val="Heading4"/>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6. Authority</w:t>
      </w:r>
    </w:p>
    <w:p w14:paraId="4757DF97"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The Health Office holds coordinating authority through Memorandums of Understanding (MoU) with private healthcare facilities and community organizations:</w:t>
      </w:r>
    </w:p>
    <w:p w14:paraId="11297648"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"In managing the TB program, we have coordinated through MoUs with 21 private hospitals, 125 private clinics, 10 independent general practitioners, as well as community organizations (NGOs) and PKBI..." </w:t>
      </w:r>
      <w:r w:rsidRPr="002D601E">
        <w:rPr>
          <w:b/>
          <w:bCs/>
          <w:sz w:val="22"/>
          <w:szCs w:val="22"/>
        </w:rPr>
        <w:t>ATM</w:t>
      </w:r>
      <w:r w:rsidRPr="002D601E">
        <w:rPr>
          <w:sz w:val="22"/>
          <w:szCs w:val="22"/>
        </w:rPr>
        <w:t xml:space="preserve"> (November 14, 2025)</w:t>
      </w:r>
    </w:p>
    <w:p w14:paraId="7EAB5423"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"For communication and coordination, we joined the WhatsApp group created by the Pekanbaru City Health Office. We were also granted access to use the SITB (Tuberculosis Information System) application from the Pekanbaru City Health Office." </w:t>
      </w:r>
      <w:r w:rsidRPr="002D601E">
        <w:rPr>
          <w:sz w:val="22"/>
          <w:szCs w:val="22"/>
        </w:rPr>
        <w:t xml:space="preserve"> </w:t>
      </w:r>
      <w:r w:rsidRPr="002D601E">
        <w:rPr>
          <w:b/>
          <w:bCs/>
          <w:sz w:val="22"/>
          <w:szCs w:val="22"/>
        </w:rPr>
        <w:t>Person in Charge of TB at Dilla Clinic</w:t>
      </w:r>
      <w:r w:rsidRPr="002D601E">
        <w:rPr>
          <w:sz w:val="22"/>
          <w:szCs w:val="22"/>
        </w:rPr>
        <w:t xml:space="preserve"> (March 9, 2026)</w:t>
      </w:r>
    </w:p>
    <w:p w14:paraId="0DC7B476"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Authority challenges arise when patients refuse treatment or default, as implementers lack the legal authority to enforce treatment due to human rights and medical confidentiality:</w:t>
      </w:r>
    </w:p>
    <w:p w14:paraId="4162BC27"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"In reality in the field, many patients refuse. This actually has a wide impact. Patients who do not undergo treatment can transmit it to others. There should be involvement from other parties... </w:t>
      </w:r>
      <w:r w:rsidRPr="002D601E">
        <w:rPr>
          <w:i/>
          <w:iCs/>
          <w:sz w:val="22"/>
          <w:szCs w:val="22"/>
        </w:rPr>
        <w:lastRenderedPageBreak/>
        <w:t xml:space="preserve">Why? Because we don't have the authority for that. We are limited to case finding and education, but we lack the authority to force people." </w:t>
      </w:r>
      <w:r w:rsidRPr="002D601E">
        <w:rPr>
          <w:sz w:val="22"/>
          <w:szCs w:val="22"/>
        </w:rPr>
        <w:t xml:space="preserve"> </w:t>
      </w:r>
      <w:r w:rsidRPr="002D601E">
        <w:rPr>
          <w:b/>
          <w:bCs/>
          <w:sz w:val="22"/>
          <w:szCs w:val="22"/>
        </w:rPr>
        <w:t>BR</w:t>
      </w:r>
      <w:r w:rsidRPr="002D601E">
        <w:rPr>
          <w:sz w:val="22"/>
          <w:szCs w:val="22"/>
        </w:rPr>
        <w:t xml:space="preserve"> (November 25, 2025)</w:t>
      </w:r>
    </w:p>
    <w:p w14:paraId="03D9013C" w14:textId="77777777" w:rsidR="002D601E" w:rsidRPr="002D601E" w:rsidRDefault="002D601E" w:rsidP="002D601E">
      <w:pPr>
        <w:pStyle w:val="Heading3"/>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7. Disposition</w:t>
      </w:r>
    </w:p>
    <w:p w14:paraId="3710FED7"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Disposition encompasses commitment, attitudes, bureaucratic appointments, and the incentive systems possessed by policy implementers. The appointment of TB program managers at each health facility and the formation of multidisciplinary teams demonstrate a structured bureaucratic setup. Officer commitment and motivation are generally high, driven by moral satisfaction when patients are successfully cured.</w:t>
      </w:r>
    </w:p>
    <w:p w14:paraId="220D3FBF"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"Because each healthcare facility must have a person in charge of the TB program to facilitate communication in identifying suspected TB patients." </w:t>
      </w:r>
      <w:r w:rsidRPr="002D601E">
        <w:rPr>
          <w:sz w:val="22"/>
          <w:szCs w:val="22"/>
        </w:rPr>
        <w:t xml:space="preserve"> </w:t>
      </w:r>
      <w:r w:rsidRPr="002D601E">
        <w:rPr>
          <w:b/>
          <w:bCs/>
          <w:sz w:val="22"/>
          <w:szCs w:val="22"/>
        </w:rPr>
        <w:t>ATM.</w:t>
      </w:r>
      <w:r w:rsidRPr="002D601E">
        <w:rPr>
          <w:sz w:val="22"/>
          <w:szCs w:val="22"/>
        </w:rPr>
        <w:t xml:space="preserve"> (November 14, 2025)</w:t>
      </w:r>
    </w:p>
    <w:p w14:paraId="71533A5B"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At the Pekanbaru Kota Puskesmas, we have a TB team consisting of nurses, the TB person in charge, the TB doctor in charge, a TB analyst, and TB cadres..."</w:t>
      </w:r>
      <w:r w:rsidRPr="002D601E">
        <w:rPr>
          <w:sz w:val="22"/>
          <w:szCs w:val="22"/>
        </w:rPr>
        <w:t xml:space="preserve">— </w:t>
      </w:r>
      <w:r w:rsidRPr="002D601E">
        <w:rPr>
          <w:b/>
          <w:bCs/>
          <w:sz w:val="22"/>
          <w:szCs w:val="22"/>
        </w:rPr>
        <w:t>HP</w:t>
      </w:r>
      <w:r w:rsidRPr="002D601E">
        <w:rPr>
          <w:sz w:val="22"/>
          <w:szCs w:val="22"/>
        </w:rPr>
        <w:t xml:space="preserve"> (November 21, 2025)</w:t>
      </w:r>
    </w:p>
    <w:p w14:paraId="20F2A933" w14:textId="77777777" w:rsidR="002D601E" w:rsidRPr="002D601E" w:rsidRDefault="002D601E" w:rsidP="002D601E">
      <w:pPr>
        <w:pStyle w:val="Heading4"/>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8. Incentives</w:t>
      </w:r>
    </w:p>
    <w:p w14:paraId="1851D1FC"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There are no special financial incentives for formal health workers at the Health Office or Hospitals. Recognition is provided in the form of certificates of appreciation and souvenirs during training.</w:t>
      </w:r>
    </w:p>
    <w:p w14:paraId="15F17CD4"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"As for incentives, there are none yet, but during training activities, we award certificates to personnel who find many TB patients, treat many cases, and conduct follow-ups." </w:t>
      </w:r>
      <w:r w:rsidRPr="002D601E">
        <w:rPr>
          <w:b/>
          <w:bCs/>
          <w:sz w:val="22"/>
          <w:szCs w:val="22"/>
        </w:rPr>
        <w:t>ATM.</w:t>
      </w:r>
      <w:r w:rsidRPr="002D601E">
        <w:rPr>
          <w:sz w:val="22"/>
          <w:szCs w:val="22"/>
        </w:rPr>
        <w:t xml:space="preserve"> (November 14, 2025)</w:t>
      </w:r>
    </w:p>
    <w:p w14:paraId="6C4E810B"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For field cadres, operational incentives and transport allowances are provided by Puskesmas and/or the PKBI community:</w:t>
      </w:r>
    </w:p>
    <w:p w14:paraId="1AB96D66"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"Yes, transport allowances and incentives are provided by the Puskesmas, as well as from PKBI (the community)." </w:t>
      </w:r>
      <w:r w:rsidRPr="002D601E">
        <w:rPr>
          <w:b/>
          <w:bCs/>
          <w:sz w:val="22"/>
          <w:szCs w:val="22"/>
        </w:rPr>
        <w:t>VN</w:t>
      </w:r>
      <w:r w:rsidRPr="002D601E">
        <w:rPr>
          <w:sz w:val="22"/>
          <w:szCs w:val="22"/>
        </w:rPr>
        <w:t xml:space="preserve"> (November 6, 2025)</w:t>
      </w:r>
    </w:p>
    <w:p w14:paraId="56A692D5"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Internal motivation (personal/family experience with TB) serves as the primary drive for cadres to perform their duties:</w:t>
      </w:r>
    </w:p>
    <w:p w14:paraId="4F5BD8BC"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"My child had TB in the past, so I felt compelled to help eliminate TB. Additionally, there was this TB control program, so I joined as a cadre." </w:t>
      </w:r>
      <w:r w:rsidRPr="002D601E">
        <w:rPr>
          <w:sz w:val="22"/>
          <w:szCs w:val="22"/>
        </w:rPr>
        <w:t xml:space="preserve"> </w:t>
      </w:r>
      <w:r w:rsidRPr="002D601E">
        <w:rPr>
          <w:b/>
          <w:bCs/>
          <w:sz w:val="22"/>
          <w:szCs w:val="22"/>
        </w:rPr>
        <w:t>VN</w:t>
      </w:r>
      <w:r w:rsidRPr="002D601E">
        <w:rPr>
          <w:sz w:val="22"/>
          <w:szCs w:val="22"/>
        </w:rPr>
        <w:t xml:space="preserve"> (November 6, 2025)</w:t>
      </w:r>
    </w:p>
    <w:p w14:paraId="11967898" w14:textId="77777777" w:rsidR="002D601E" w:rsidRPr="002D601E" w:rsidRDefault="002D601E" w:rsidP="002D601E">
      <w:pPr>
        <w:pStyle w:val="Heading3"/>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9. Bureaucratic Structure</w:t>
      </w:r>
    </w:p>
    <w:p w14:paraId="549D1FF5"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 xml:space="preserve">Bureaucratic structure includes the existence of Standard Operating Procedures (SOPs) and division of labor (fragmentation) across institutions. Program responsibilities are distributed hierarchically within the Disease Prevention and Control (P2P) Division of the Pekanbaru City Health Office and involve public health facilities, private health facilities, and NGOs/communities. Inter-unit coordination across fragmented bodies operates effectively through active use of the SITB application and WhatsApp. Although the overall implementation of TB control policy in Pekanbaru City runs well, three main factors act as key obstacles in achieving TB elimination targets. </w:t>
      </w:r>
    </w:p>
    <w:p w14:paraId="2ADFD172"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TB treatment requiring a minimum of 6 months frequently causes patient fatigue, loss to follow-up, and unilateral drug discontinuation prior to cure, posing a risk of developing drug resistance (DR-TB). Patients diagnosed positive with TB often refuse to start therapy or cut off contact (lost to follow-up). The lack of legal authority for healthcare staff to compel treatment serves as a major barrier in breaking the chain of transmission.</w:t>
      </w:r>
    </w:p>
    <w:p w14:paraId="6772DB47" w14:textId="77777777" w:rsidR="002D601E" w:rsidRPr="002D601E" w:rsidRDefault="002D601E" w:rsidP="002D601E">
      <w:pPr>
        <w:pStyle w:val="Heading3"/>
        <w:spacing w:before="0" w:after="0" w:line="240" w:lineRule="auto"/>
        <w:jc w:val="both"/>
        <w:rPr>
          <w:rFonts w:ascii="Times New Roman" w:hAnsi="Times New Roman" w:cs="Times New Roman"/>
          <w:sz w:val="22"/>
          <w:szCs w:val="22"/>
        </w:rPr>
      </w:pPr>
      <w:r w:rsidRPr="002D601E">
        <w:rPr>
          <w:rFonts w:ascii="Times New Roman" w:hAnsi="Times New Roman" w:cs="Times New Roman"/>
          <w:sz w:val="22"/>
          <w:szCs w:val="22"/>
        </w:rPr>
        <w:t>10. Differences in Educational Levels and Public Understanding</w:t>
      </w:r>
    </w:p>
    <w:p w14:paraId="3C531CF8" w14:textId="77777777" w:rsidR="002D601E" w:rsidRPr="002D601E" w:rsidRDefault="002D601E" w:rsidP="002D601E">
      <w:pPr>
        <w:pStyle w:val="NormalWeb"/>
        <w:spacing w:after="0" w:line="240" w:lineRule="auto"/>
        <w:ind w:firstLine="567"/>
        <w:jc w:val="both"/>
        <w:rPr>
          <w:sz w:val="22"/>
          <w:szCs w:val="22"/>
        </w:rPr>
      </w:pPr>
      <w:r w:rsidRPr="002D601E">
        <w:rPr>
          <w:sz w:val="22"/>
          <w:szCs w:val="22"/>
        </w:rPr>
        <w:t>Varying educational backgrounds affect how quickly the public absorbs TB information. The stigma that TB is an inherited disease or caused by witchcraft/black magic persists, particularly among the elderly and individuals with lower education levels.</w:t>
      </w:r>
    </w:p>
    <w:p w14:paraId="5B8B1854" w14:textId="77777777" w:rsidR="002D601E" w:rsidRPr="002D601E" w:rsidRDefault="002D601E" w:rsidP="002D601E">
      <w:pPr>
        <w:pStyle w:val="NormalWeb"/>
        <w:spacing w:after="0" w:line="240" w:lineRule="auto"/>
        <w:ind w:firstLine="567"/>
        <w:jc w:val="both"/>
        <w:rPr>
          <w:sz w:val="22"/>
          <w:szCs w:val="22"/>
        </w:rPr>
      </w:pPr>
      <w:r w:rsidRPr="002D601E">
        <w:rPr>
          <w:i/>
          <w:iCs/>
          <w:sz w:val="22"/>
          <w:szCs w:val="22"/>
        </w:rPr>
        <w:t xml:space="preserve">"When it comes to patients, not all of them understand quickly. Most patients assume that TB is hereditary, so we have to explain in greater detail before they understand. This usually occurs with elderly patients, though education levels also play a role." </w:t>
      </w:r>
      <w:r w:rsidRPr="002D601E">
        <w:rPr>
          <w:b/>
          <w:bCs/>
          <w:sz w:val="22"/>
          <w:szCs w:val="22"/>
        </w:rPr>
        <w:t>NH</w:t>
      </w:r>
      <w:r w:rsidRPr="002D601E">
        <w:rPr>
          <w:sz w:val="22"/>
          <w:szCs w:val="22"/>
        </w:rPr>
        <w:t xml:space="preserve"> (November 6, 2025)</w:t>
      </w:r>
    </w:p>
    <w:p w14:paraId="2A3C444B" w14:textId="02313E3D" w:rsidR="00B93653" w:rsidRPr="002D601E" w:rsidRDefault="002D601E" w:rsidP="002D601E">
      <w:pPr>
        <w:spacing w:after="0" w:line="240" w:lineRule="auto"/>
        <w:ind w:firstLine="567"/>
        <w:jc w:val="both"/>
        <w:rPr>
          <w:rFonts w:ascii="Times New Roman" w:hAnsi="Times New Roman" w:cs="Times New Roman"/>
        </w:rPr>
      </w:pPr>
      <w:r w:rsidRPr="002D601E">
        <w:rPr>
          <w:rFonts w:ascii="Times New Roman" w:hAnsi="Times New Roman" w:cs="Times New Roman"/>
        </w:rPr>
        <w:t>Field findings confirm that elderly residents with elementary school education still regard TB as a hereditary disease and attend educational sessions merely as a formality to fill attendance.</w:t>
      </w:r>
    </w:p>
    <w:p w14:paraId="23894E01" w14:textId="77777777" w:rsidR="00807524" w:rsidRPr="00C44EBD" w:rsidRDefault="00807524" w:rsidP="00CC4A90">
      <w:pPr>
        <w:spacing w:after="0" w:line="240" w:lineRule="auto"/>
        <w:jc w:val="center"/>
        <w:rPr>
          <w:rFonts w:ascii="Times New Roman" w:hAnsi="Times New Roman" w:cs="Times New Roman"/>
          <w:b/>
          <w:bCs/>
          <w:iCs/>
        </w:rPr>
      </w:pPr>
    </w:p>
    <w:p w14:paraId="058C44D5" w14:textId="52F6D441" w:rsidR="007F5B5B" w:rsidRPr="00C46319" w:rsidRDefault="007F5B5B" w:rsidP="00C46319">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C46319">
        <w:rPr>
          <w:rFonts w:ascii="Times New Roman" w:eastAsia="Times New Roman" w:hAnsi="Times New Roman" w:cs="Times New Roman"/>
          <w:b/>
          <w:color w:val="000000"/>
          <w:sz w:val="24"/>
          <w:szCs w:val="24"/>
        </w:rPr>
        <w:lastRenderedPageBreak/>
        <w:t>CONCLUSION</w:t>
      </w:r>
    </w:p>
    <w:p w14:paraId="3B192D63" w14:textId="7D4B6A5F" w:rsidR="002D601E" w:rsidRPr="002D601E" w:rsidRDefault="002D601E" w:rsidP="002D601E">
      <w:pPr>
        <w:spacing w:after="0" w:line="240" w:lineRule="auto"/>
        <w:ind w:firstLine="567"/>
        <w:jc w:val="both"/>
        <w:rPr>
          <w:rFonts w:ascii="Times New Roman" w:eastAsia="Times New Roman" w:hAnsi="Times New Roman" w:cs="Times New Roman"/>
          <w:lang w:val="en-ID"/>
        </w:rPr>
      </w:pPr>
      <w:r w:rsidRPr="002D601E">
        <w:rPr>
          <w:rFonts w:ascii="Times New Roman" w:eastAsia="Times New Roman" w:hAnsi="Times New Roman" w:cs="Times New Roman"/>
          <w:lang w:val="en-ID"/>
        </w:rPr>
        <w:t>The implementation of Pekanbaru Mayor Regulation No. 30 of 2023 on Tuberculosis (TB) Control, evaluated through George C. Edward III’s framework, demonstrates a structured execution across communication, resources, disposition, and bureaucratic structure. Technical communications and data reporting are effectively maintained vertically and horizontally via digital channels such as WhatsApp and the Tuberculosis Information System (SITB), supported by available diagnostic tools (TCM) and stable drug supplies (OAT). Operational momentum is further sustained by high personal commitment among health personnel and community cadres (PKBI) operating under standardized national procedures, despite staffing imbalances across primary health centers (Puskesmas) and the absence of financial incentives for formal health workers.</w:t>
      </w:r>
    </w:p>
    <w:p w14:paraId="4FEF11CB" w14:textId="77777777" w:rsidR="002D601E" w:rsidRPr="002D601E" w:rsidRDefault="002D601E" w:rsidP="002D601E">
      <w:pPr>
        <w:spacing w:after="0" w:line="240" w:lineRule="auto"/>
        <w:ind w:firstLine="567"/>
        <w:jc w:val="both"/>
        <w:rPr>
          <w:rFonts w:ascii="Times New Roman" w:eastAsia="Times New Roman" w:hAnsi="Times New Roman" w:cs="Times New Roman"/>
          <w:lang w:val="en-ID"/>
        </w:rPr>
      </w:pPr>
      <w:r w:rsidRPr="002D601E">
        <w:rPr>
          <w:rFonts w:ascii="Times New Roman" w:eastAsia="Times New Roman" w:hAnsi="Times New Roman" w:cs="Times New Roman"/>
          <w:lang w:val="en-ID"/>
        </w:rPr>
        <w:t>However, policy execution faces significant field-level obstacles that hinder complete disease elimination. Low patient compliance during the six-month medication regimen frequently leads to treatment default and increases the risk of Drug-Resistant TB (DR-TB). Crucially, health workers encounter a legal authority gap that prevents them from enforcing mandatory treatment on non-compliant or refusing patients due to human rights and patient privacy boundaries. These enforcement challenges are exacerbated by persistent social stigma and low health literacy, particularly among elderly and lower-educated demographics who continue to view TB as a hereditary or supernatural affliction.</w:t>
      </w:r>
    </w:p>
    <w:p w14:paraId="5DD6E29A" w14:textId="218A88FE" w:rsidR="00810244" w:rsidRPr="002D601E" w:rsidRDefault="002D601E" w:rsidP="002D601E">
      <w:pPr>
        <w:spacing w:after="0" w:line="240" w:lineRule="auto"/>
        <w:ind w:firstLine="567"/>
        <w:jc w:val="both"/>
        <w:rPr>
          <w:rFonts w:ascii="Times New Roman" w:hAnsi="Times New Roman" w:cs="Times New Roman"/>
          <w:sz w:val="20"/>
          <w:szCs w:val="20"/>
        </w:rPr>
      </w:pPr>
      <w:r w:rsidRPr="002D601E">
        <w:rPr>
          <w:rFonts w:ascii="Times New Roman" w:eastAsia="Times New Roman" w:hAnsi="Times New Roman" w:cs="Times New Roman"/>
          <w:lang w:val="en-ID"/>
        </w:rPr>
        <w:t>The novelty of this research lies in its updated empirical assessment of a local health policy operating within a digitized governance ecosystem (SITB and MICA), capturing multi-tiered stakeholder perspectives from city officials down to grassroots patients. Furthermore, the study contributes to policy implementation theory by conceptualizing the "authority-enforcement gap" in public health, illustrating how administrative mandates collide with legal limits when handling non-compliant individuals. Finally, it highlights the vital role of grassroots intrinsic motivation, demonstrating how personal experiences among community cadres successfully mitigate institutional limitations such as unscheduled public outreach and non-financial reward systems.</w:t>
      </w:r>
    </w:p>
    <w:p w14:paraId="15D870DF" w14:textId="77777777" w:rsidR="008003F2" w:rsidRPr="003D445A" w:rsidRDefault="008003F2" w:rsidP="003D445A">
      <w:pPr>
        <w:spacing w:after="0" w:line="240" w:lineRule="auto"/>
        <w:ind w:firstLine="567"/>
        <w:jc w:val="both"/>
        <w:rPr>
          <w:rFonts w:ascii="Times New Roman" w:eastAsia="Times NR MT Pro" w:hAnsi="Times New Roman" w:cs="Times New Roman"/>
          <w:b/>
          <w:bCs/>
          <w:sz w:val="20"/>
          <w:szCs w:val="20"/>
        </w:rPr>
      </w:pPr>
    </w:p>
    <w:p w14:paraId="02D730EC" w14:textId="652F06CD" w:rsidR="00220117" w:rsidRDefault="00B9227D" w:rsidP="00C46319">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5B3154">
        <w:rPr>
          <w:rFonts w:ascii="Times New Roman" w:eastAsia="Times New Roman" w:hAnsi="Times New Roman" w:cs="Times New Roman"/>
          <w:b/>
          <w:color w:val="000000"/>
          <w:sz w:val="24"/>
          <w:szCs w:val="24"/>
        </w:rPr>
        <w:t>REFERENCES</w:t>
      </w:r>
    </w:p>
    <w:p w14:paraId="10CF981E" w14:textId="311CDB48" w:rsidR="002D601E" w:rsidRPr="002D601E" w:rsidRDefault="002D601E" w:rsidP="002D601E">
      <w:pPr>
        <w:tabs>
          <w:tab w:val="left" w:pos="8190"/>
        </w:tabs>
        <w:spacing w:after="0" w:line="240" w:lineRule="auto"/>
        <w:ind w:left="584" w:hanging="584"/>
        <w:jc w:val="both"/>
        <w:rPr>
          <w:rFonts w:ascii="Times New Roman" w:eastAsia="Times New Roman" w:hAnsi="Times New Roman" w:cs="Times New Roman"/>
          <w:color w:val="000000" w:themeColor="text1"/>
        </w:rPr>
      </w:pPr>
      <w:r w:rsidRPr="002D601E">
        <w:rPr>
          <w:rFonts w:ascii="Times New Roman" w:eastAsia="Times New Roman" w:hAnsi="Times New Roman" w:cs="Times New Roman"/>
          <w:color w:val="000000" w:themeColor="text1"/>
        </w:rPr>
        <w:t>Abdussamad, H. Z. 2021. Metode Penelitian Kualitatif. Makassar. Syakir Media Press</w:t>
      </w:r>
    </w:p>
    <w:p w14:paraId="070B73E5" w14:textId="77777777" w:rsidR="002D601E" w:rsidRPr="002D601E" w:rsidRDefault="002D601E" w:rsidP="002D601E">
      <w:pPr>
        <w:tabs>
          <w:tab w:val="left" w:pos="8190"/>
        </w:tabs>
        <w:spacing w:after="0" w:line="240" w:lineRule="auto"/>
        <w:ind w:left="584" w:hanging="584"/>
        <w:jc w:val="both"/>
        <w:rPr>
          <w:rFonts w:ascii="Times New Roman" w:eastAsia="Times New Roman" w:hAnsi="Times New Roman" w:cs="Times New Roman"/>
          <w:color w:val="000000" w:themeColor="text1"/>
        </w:rPr>
      </w:pPr>
      <w:r w:rsidRPr="002D601E">
        <w:rPr>
          <w:rFonts w:ascii="Times New Roman" w:eastAsia="Times New Roman" w:hAnsi="Times New Roman" w:cs="Times New Roman"/>
          <w:color w:val="000000" w:themeColor="text1"/>
        </w:rPr>
        <w:t xml:space="preserve">Adrian, Maisarah Mitra. Eko Priyo, Purnomo., dan Agustiyara. (2020). “Implementasi Kebijakan Pemerintah Permenkes No. 67 Tahun 2016 Dalam Penanggulangan Tuberkulosis Di Kota Yogyakarta”. </w:t>
      </w:r>
      <w:r w:rsidRPr="002D601E">
        <w:rPr>
          <w:rFonts w:ascii="Times New Roman" w:eastAsia="Times New Roman" w:hAnsi="Times New Roman" w:cs="Times New Roman"/>
          <w:i/>
          <w:iCs/>
          <w:color w:val="000000" w:themeColor="text1"/>
        </w:rPr>
        <w:t>Yogyakarta: Jurnal Kebijakan Kesehatan Indonesia,</w:t>
      </w:r>
      <w:r w:rsidRPr="002D601E">
        <w:rPr>
          <w:rFonts w:ascii="Times New Roman" w:eastAsia="Times New Roman" w:hAnsi="Times New Roman" w:cs="Times New Roman"/>
          <w:color w:val="000000" w:themeColor="text1"/>
        </w:rPr>
        <w:t xml:space="preserve"> 9(2), hal 83.</w:t>
      </w:r>
    </w:p>
    <w:p w14:paraId="5D69C61F" w14:textId="77777777" w:rsidR="002D601E" w:rsidRPr="002D601E" w:rsidRDefault="002D601E" w:rsidP="002D601E">
      <w:pPr>
        <w:spacing w:after="0" w:line="240" w:lineRule="auto"/>
        <w:ind w:left="584" w:hanging="584"/>
        <w:jc w:val="both"/>
        <w:rPr>
          <w:rFonts w:ascii="Times New Roman" w:hAnsi="Times New Roman" w:cs="Times New Roman"/>
          <w:i/>
          <w:iCs/>
          <w:color w:val="000000" w:themeColor="text1"/>
          <w:shd w:val="clear" w:color="auto" w:fill="FFFFFF"/>
        </w:rPr>
      </w:pPr>
      <w:r w:rsidRPr="002D601E">
        <w:rPr>
          <w:rFonts w:ascii="Times New Roman" w:hAnsi="Times New Roman" w:cs="Times New Roman"/>
          <w:color w:val="000000" w:themeColor="text1"/>
          <w:shd w:val="clear" w:color="auto" w:fill="FFFFFF"/>
        </w:rPr>
        <w:t xml:space="preserve">Adinda S. P. (2025). Implementasi Peraturan Presiden Ri No. 67 Tahun 2021 Tentang Penanggulangan Tuberkulosis (Tbc) Di Puskesmas Kalijudan, </w:t>
      </w:r>
      <w:r w:rsidRPr="002D601E">
        <w:rPr>
          <w:rFonts w:ascii="Times New Roman" w:hAnsi="Times New Roman" w:cs="Times New Roman"/>
          <w:i/>
          <w:iCs/>
          <w:color w:val="000000" w:themeColor="text1"/>
          <w:shd w:val="clear" w:color="auto" w:fill="FFFFFF"/>
        </w:rPr>
        <w:t>Journal Ilmu Administrasi Kebijakan (Univ Pasundan)</w:t>
      </w:r>
      <w:r w:rsidRPr="002D601E">
        <w:rPr>
          <w:rFonts w:ascii="Times New Roman" w:hAnsi="Times New Roman" w:cs="Times New Roman"/>
          <w:color w:val="000000" w:themeColor="text1"/>
          <w:shd w:val="clear" w:color="auto" w:fill="FFFFFF"/>
        </w:rPr>
        <w:t xml:space="preserve">, E-ISSN 26562080 </w:t>
      </w:r>
      <w:r w:rsidRPr="002D601E">
        <w:rPr>
          <w:rFonts w:ascii="Times New Roman" w:hAnsi="Times New Roman" w:cs="Times New Roman"/>
          <w:i/>
          <w:iCs/>
          <w:color w:val="000000" w:themeColor="text1"/>
          <w:shd w:val="clear" w:color="auto" w:fill="FFFFFF"/>
        </w:rPr>
        <w:t xml:space="preserve">| P-ISSN 1829-5762 VOL.16 No.02, </w:t>
      </w:r>
      <w:hyperlink r:id="rId13" w:history="1">
        <w:r w:rsidRPr="002D601E">
          <w:rPr>
            <w:rStyle w:val="Hyperlink"/>
            <w:rFonts w:ascii="Times New Roman" w:hAnsi="Times New Roman" w:cs="Times New Roman"/>
            <w:color w:val="000000" w:themeColor="text1"/>
            <w:u w:val="none"/>
            <w:shd w:val="clear" w:color="auto" w:fill="F8F7FA"/>
          </w:rPr>
          <w:t>https://doi.org/10.23969/kebijakan.v16i02.14895</w:t>
        </w:r>
      </w:hyperlink>
    </w:p>
    <w:p w14:paraId="3DE27A5D" w14:textId="77777777" w:rsidR="002D601E" w:rsidRPr="002D601E" w:rsidRDefault="002D601E" w:rsidP="002D601E">
      <w:pPr>
        <w:spacing w:after="0" w:line="240" w:lineRule="auto"/>
        <w:ind w:left="584" w:hanging="584"/>
        <w:jc w:val="both"/>
        <w:rPr>
          <w:rFonts w:ascii="Times New Roman" w:hAnsi="Times New Roman" w:cs="Times New Roman"/>
          <w:color w:val="000000" w:themeColor="text1"/>
        </w:rPr>
      </w:pPr>
      <w:r w:rsidRPr="002D601E">
        <w:rPr>
          <w:rFonts w:ascii="Times New Roman" w:hAnsi="Times New Roman" w:cs="Times New Roman"/>
          <w:color w:val="000000" w:themeColor="text1"/>
        </w:rPr>
        <w:t xml:space="preserve">Agustino, Leo. 2022. </w:t>
      </w:r>
      <w:r w:rsidRPr="002D601E">
        <w:rPr>
          <w:rFonts w:ascii="Times New Roman" w:hAnsi="Times New Roman" w:cs="Times New Roman"/>
          <w:i/>
          <w:iCs/>
          <w:color w:val="000000" w:themeColor="text1"/>
        </w:rPr>
        <w:t>Dasar-Dasar Kebijakan Publik</w:t>
      </w:r>
      <w:r w:rsidRPr="002D601E">
        <w:rPr>
          <w:rFonts w:ascii="Times New Roman" w:hAnsi="Times New Roman" w:cs="Times New Roman"/>
          <w:color w:val="000000" w:themeColor="text1"/>
        </w:rPr>
        <w:t>. Edisi Revisi ke-2. Bandung. Alfabeta</w:t>
      </w:r>
    </w:p>
    <w:p w14:paraId="347D193A" w14:textId="77777777" w:rsidR="002D601E" w:rsidRPr="002D601E" w:rsidRDefault="002D601E" w:rsidP="002D601E">
      <w:pPr>
        <w:spacing w:after="0" w:line="240" w:lineRule="auto"/>
        <w:ind w:left="584" w:hanging="584"/>
        <w:jc w:val="both"/>
        <w:rPr>
          <w:rFonts w:ascii="Times New Roman" w:hAnsi="Times New Roman" w:cs="Times New Roman"/>
          <w:color w:val="000000" w:themeColor="text1"/>
        </w:rPr>
      </w:pPr>
      <w:r w:rsidRPr="002D601E">
        <w:rPr>
          <w:rFonts w:ascii="Times New Roman" w:hAnsi="Times New Roman" w:cs="Times New Roman"/>
          <w:color w:val="000000" w:themeColor="text1"/>
        </w:rPr>
        <w:t xml:space="preserve">BPS. (2024). </w:t>
      </w:r>
      <w:r w:rsidRPr="002D601E">
        <w:rPr>
          <w:rFonts w:ascii="Times New Roman" w:hAnsi="Times New Roman" w:cs="Times New Roman"/>
          <w:i/>
          <w:iCs/>
          <w:color w:val="000000" w:themeColor="text1"/>
        </w:rPr>
        <w:t>Kota Pekanbaru dalam angka 2024</w:t>
      </w:r>
      <w:r w:rsidRPr="002D601E">
        <w:rPr>
          <w:rFonts w:ascii="Times New Roman" w:hAnsi="Times New Roman" w:cs="Times New Roman"/>
          <w:color w:val="000000" w:themeColor="text1"/>
        </w:rPr>
        <w:t>. Badan Pusat Statistika</w:t>
      </w:r>
    </w:p>
    <w:p w14:paraId="3E3D9EF0"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hAnsi="Times New Roman" w:cs="Times New Roman"/>
          <w:noProof/>
          <w:color w:val="000000" w:themeColor="text1"/>
        </w:rPr>
        <w:t>Faradis, N. A., &amp; Indarjo, S. (2018). Implementasi Kebijakan Permenkes Nomor 67 Tahun 2016 tentang Penanggulangan Tuberkulosis</w:t>
      </w:r>
      <w:r w:rsidRPr="002D601E">
        <w:rPr>
          <w:rFonts w:ascii="Times New Roman" w:hAnsi="Times New Roman" w:cs="Times New Roman"/>
          <w:i/>
          <w:iCs/>
          <w:noProof/>
          <w:color w:val="000000" w:themeColor="text1"/>
        </w:rPr>
        <w:t>.</w:t>
      </w:r>
      <w:r w:rsidRPr="002D601E">
        <w:rPr>
          <w:rFonts w:ascii="Times New Roman" w:hAnsi="Times New Roman" w:cs="Times New Roman"/>
          <w:noProof/>
          <w:color w:val="000000" w:themeColor="text1"/>
        </w:rPr>
        <w:t xml:space="preserve"> </w:t>
      </w:r>
      <w:r w:rsidRPr="002D601E">
        <w:rPr>
          <w:rFonts w:ascii="Times New Roman" w:hAnsi="Times New Roman" w:cs="Times New Roman"/>
          <w:i/>
          <w:iCs/>
          <w:noProof/>
          <w:color w:val="000000" w:themeColor="text1"/>
        </w:rPr>
        <w:t>HIGEIA (Journal of Public Health Research and Development),</w:t>
      </w:r>
      <w:r w:rsidRPr="002D601E">
        <w:rPr>
          <w:rFonts w:ascii="Times New Roman" w:hAnsi="Times New Roman" w:cs="Times New Roman"/>
          <w:noProof/>
          <w:color w:val="000000" w:themeColor="text1"/>
        </w:rPr>
        <w:t xml:space="preserve"> 2(2), 307–319. </w:t>
      </w:r>
      <w:hyperlink r:id="rId14" w:history="1">
        <w:r w:rsidRPr="002D601E">
          <w:rPr>
            <w:rStyle w:val="Hyperlink"/>
            <w:rFonts w:ascii="Times New Roman" w:hAnsi="Times New Roman" w:cs="Times New Roman"/>
            <w:noProof/>
            <w:color w:val="000000" w:themeColor="text1"/>
            <w:u w:val="none"/>
          </w:rPr>
          <w:t>https://doi.org/10.15294/higeia.v2i2.21291</w:t>
        </w:r>
      </w:hyperlink>
    </w:p>
    <w:p w14:paraId="5D0720FF" w14:textId="77777777" w:rsidR="002D601E" w:rsidRPr="002D601E" w:rsidRDefault="002D601E" w:rsidP="002D601E">
      <w:pPr>
        <w:spacing w:after="0" w:line="240" w:lineRule="auto"/>
        <w:ind w:left="584" w:hanging="584"/>
        <w:jc w:val="both"/>
        <w:rPr>
          <w:rFonts w:ascii="Times New Roman" w:hAnsi="Times New Roman" w:cs="Times New Roman"/>
          <w:color w:val="000000" w:themeColor="text1"/>
        </w:rPr>
      </w:pPr>
      <w:r w:rsidRPr="002D601E">
        <w:rPr>
          <w:rFonts w:ascii="Times New Roman" w:hAnsi="Times New Roman" w:cs="Times New Roman"/>
          <w:color w:val="000000" w:themeColor="text1"/>
        </w:rPr>
        <w:t xml:space="preserve">Handoyo Eko. 2012. </w:t>
      </w:r>
      <w:r w:rsidRPr="002D601E">
        <w:rPr>
          <w:rFonts w:ascii="Times New Roman" w:hAnsi="Times New Roman" w:cs="Times New Roman"/>
          <w:i/>
          <w:iCs/>
          <w:color w:val="000000" w:themeColor="text1"/>
        </w:rPr>
        <w:t>Kebijakan Publik</w:t>
      </w:r>
      <w:r w:rsidRPr="002D601E">
        <w:rPr>
          <w:rFonts w:ascii="Times New Roman" w:hAnsi="Times New Roman" w:cs="Times New Roman"/>
          <w:color w:val="000000" w:themeColor="text1"/>
        </w:rPr>
        <w:t>. Semarang: Widya Karya</w:t>
      </w:r>
    </w:p>
    <w:p w14:paraId="7589BF3C" w14:textId="77777777" w:rsidR="002D601E" w:rsidRPr="002D601E" w:rsidRDefault="002D601E" w:rsidP="002D601E">
      <w:pPr>
        <w:spacing w:after="0" w:line="240" w:lineRule="auto"/>
        <w:ind w:left="584" w:hanging="584"/>
        <w:jc w:val="both"/>
        <w:rPr>
          <w:rFonts w:ascii="Times New Roman" w:hAnsi="Times New Roman" w:cs="Times New Roman"/>
          <w:color w:val="000000" w:themeColor="text1"/>
        </w:rPr>
      </w:pPr>
      <w:r w:rsidRPr="002D601E">
        <w:rPr>
          <w:rFonts w:ascii="Times New Roman" w:hAnsi="Times New Roman" w:cs="Times New Roman"/>
          <w:color w:val="000000" w:themeColor="text1"/>
          <w:shd w:val="clear" w:color="auto" w:fill="FFFFFF"/>
        </w:rPr>
        <w:t xml:space="preserve">Hidir, A., Malik, R., &amp; Widiarti, D. (2024). Pengantar Sosiologi. </w:t>
      </w:r>
      <w:r w:rsidRPr="002D601E">
        <w:rPr>
          <w:rFonts w:ascii="Times New Roman" w:hAnsi="Times New Roman" w:cs="Times New Roman"/>
          <w:i/>
          <w:iCs/>
          <w:color w:val="000000" w:themeColor="text1"/>
          <w:shd w:val="clear" w:color="auto" w:fill="FFFFFF"/>
        </w:rPr>
        <w:t>Tri Edukasi Ilmiah, Bukittinggi</w:t>
      </w:r>
      <w:r w:rsidRPr="002D601E">
        <w:rPr>
          <w:rFonts w:ascii="Times New Roman" w:hAnsi="Times New Roman" w:cs="Times New Roman"/>
          <w:color w:val="000000" w:themeColor="text1"/>
          <w:shd w:val="clear" w:color="auto" w:fill="FFFFFF"/>
        </w:rPr>
        <w:t>.</w:t>
      </w:r>
    </w:p>
    <w:p w14:paraId="407A5084"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hAnsi="Times New Roman" w:cs="Times New Roman"/>
          <w:noProof/>
          <w:color w:val="000000" w:themeColor="text1"/>
        </w:rPr>
        <w:t xml:space="preserve">Inayah, Samhatul, Wahyono, B. (2019). Penanggulangan Tuberkulosis Paru dengan Strategi DOTS. </w:t>
      </w:r>
      <w:r w:rsidRPr="002D601E">
        <w:rPr>
          <w:rFonts w:ascii="Times New Roman" w:hAnsi="Times New Roman" w:cs="Times New Roman"/>
          <w:i/>
          <w:iCs/>
          <w:noProof/>
          <w:color w:val="000000" w:themeColor="text1"/>
        </w:rPr>
        <w:t>Higeia J Public Heal Res Dev</w:t>
      </w:r>
      <w:r w:rsidRPr="002D601E">
        <w:rPr>
          <w:rFonts w:ascii="Times New Roman" w:hAnsi="Times New Roman" w:cs="Times New Roman"/>
          <w:noProof/>
          <w:color w:val="000000" w:themeColor="text1"/>
        </w:rPr>
        <w:t>, 3(2), 223–233</w:t>
      </w:r>
    </w:p>
    <w:p w14:paraId="2F6FAB33"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hAnsi="Times New Roman" w:cs="Times New Roman"/>
          <w:noProof/>
          <w:color w:val="000000" w:themeColor="text1"/>
        </w:rPr>
        <w:t xml:space="preserve">Jumroh, &amp; Pratama, M.Y.J. 2021. </w:t>
      </w:r>
      <w:r w:rsidRPr="002D601E">
        <w:rPr>
          <w:rFonts w:ascii="Times New Roman" w:hAnsi="Times New Roman" w:cs="Times New Roman"/>
          <w:i/>
          <w:iCs/>
          <w:noProof/>
          <w:color w:val="000000" w:themeColor="text1"/>
        </w:rPr>
        <w:t>Implementasi Pelayanan Publik: Teori dan Praktik</w:t>
      </w:r>
      <w:r w:rsidRPr="002D601E">
        <w:rPr>
          <w:rFonts w:ascii="Times New Roman" w:hAnsi="Times New Roman" w:cs="Times New Roman"/>
          <w:noProof/>
          <w:color w:val="000000" w:themeColor="text1"/>
        </w:rPr>
        <w:t>. Solok:Isan Cendekia Mandiri</w:t>
      </w:r>
    </w:p>
    <w:p w14:paraId="6A0795CC"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hAnsi="Times New Roman" w:cs="Times New Roman"/>
          <w:noProof/>
          <w:color w:val="000000" w:themeColor="text1"/>
        </w:rPr>
        <w:t xml:space="preserve">Kementerian Kesehatan RI. (2020). </w:t>
      </w:r>
      <w:r w:rsidRPr="002D601E">
        <w:rPr>
          <w:rFonts w:ascii="Times New Roman" w:hAnsi="Times New Roman" w:cs="Times New Roman"/>
          <w:i/>
          <w:iCs/>
          <w:noProof/>
          <w:color w:val="000000" w:themeColor="text1"/>
        </w:rPr>
        <w:t>Strategi Nasional Penanggulangan Tuberkulosis di Indonesia 2020-2024</w:t>
      </w:r>
      <w:r w:rsidRPr="002D601E">
        <w:rPr>
          <w:rFonts w:ascii="Times New Roman" w:hAnsi="Times New Roman" w:cs="Times New Roman"/>
          <w:noProof/>
          <w:color w:val="000000" w:themeColor="text1"/>
        </w:rPr>
        <w:t>. Kementerian Kesehatan Republik Indonesia.</w:t>
      </w:r>
    </w:p>
    <w:p w14:paraId="400A9DE2" w14:textId="77777777" w:rsidR="002D601E" w:rsidRPr="002D601E" w:rsidRDefault="002D601E" w:rsidP="002D601E">
      <w:pPr>
        <w:spacing w:after="0" w:line="240" w:lineRule="auto"/>
        <w:ind w:left="584" w:hanging="584"/>
        <w:jc w:val="both"/>
        <w:rPr>
          <w:rFonts w:ascii="Times New Roman" w:hAnsi="Times New Roman" w:cs="Times New Roman"/>
          <w:color w:val="000000" w:themeColor="text1"/>
        </w:rPr>
      </w:pPr>
      <w:r w:rsidRPr="002D601E">
        <w:rPr>
          <w:rFonts w:ascii="Times New Roman" w:hAnsi="Times New Roman" w:cs="Times New Roman"/>
          <w:noProof/>
          <w:color w:val="000000" w:themeColor="text1"/>
        </w:rPr>
        <w:lastRenderedPageBreak/>
        <w:t>Kumalasari, F. M., &amp; Prabawati, I. (2021). I</w:t>
      </w:r>
      <w:r w:rsidRPr="002D601E">
        <w:rPr>
          <w:rFonts w:ascii="Times New Roman" w:hAnsi="Times New Roman" w:cs="Times New Roman"/>
          <w:i/>
          <w:iCs/>
          <w:noProof/>
          <w:color w:val="000000" w:themeColor="text1"/>
        </w:rPr>
        <w:t>mplementasi Kebijakan Penanggulangan Tuberkulosis Dengan Strategi Directly Observed Treatment Short-Course (Dots) Di Puskesmas Kecamatan Bangsal Kabupaten Mojokerto</w:t>
      </w:r>
      <w:r w:rsidRPr="002D601E">
        <w:rPr>
          <w:rFonts w:ascii="Times New Roman" w:hAnsi="Times New Roman" w:cs="Times New Roman"/>
          <w:noProof/>
          <w:color w:val="000000" w:themeColor="text1"/>
        </w:rPr>
        <w:t xml:space="preserve">. </w:t>
      </w:r>
      <w:r w:rsidRPr="002D601E">
        <w:rPr>
          <w:rFonts w:ascii="Times New Roman" w:hAnsi="Times New Roman" w:cs="Times New Roman"/>
          <w:i/>
          <w:iCs/>
          <w:noProof/>
          <w:color w:val="000000" w:themeColor="text1"/>
        </w:rPr>
        <w:t>Publika</w:t>
      </w:r>
      <w:r w:rsidRPr="002D601E">
        <w:rPr>
          <w:rFonts w:ascii="Times New Roman" w:hAnsi="Times New Roman" w:cs="Times New Roman"/>
          <w:noProof/>
          <w:color w:val="000000" w:themeColor="text1"/>
        </w:rPr>
        <w:t xml:space="preserve">, 201–214. </w:t>
      </w:r>
      <w:hyperlink r:id="rId15" w:history="1">
        <w:r w:rsidRPr="002D601E">
          <w:rPr>
            <w:rStyle w:val="Hyperlink"/>
            <w:rFonts w:ascii="Times New Roman" w:hAnsi="Times New Roman" w:cs="Times New Roman"/>
            <w:noProof/>
            <w:color w:val="000000" w:themeColor="text1"/>
            <w:u w:val="none"/>
          </w:rPr>
          <w:t>https://doi.org/10.26740/publika.v9n2.p201-214</w:t>
        </w:r>
      </w:hyperlink>
    </w:p>
    <w:p w14:paraId="7257BAB8"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hAnsi="Times New Roman" w:cs="Times New Roman"/>
          <w:color w:val="000000" w:themeColor="text1"/>
          <w:shd w:val="clear" w:color="auto" w:fill="FFFFFF"/>
        </w:rPr>
        <w:t xml:space="preserve">Malik, R., Susanti, R., Hidir, A., Ihsan, M., &amp; Dzulqarnain, MF (2025). Triangulasi dan analisis domain; Meningkatkan kredibilitas dan kedalaman penelitian kualitatif. </w:t>
      </w:r>
      <w:r w:rsidRPr="002D601E">
        <w:rPr>
          <w:rFonts w:ascii="Times New Roman" w:hAnsi="Times New Roman" w:cs="Times New Roman"/>
          <w:i/>
          <w:iCs/>
          <w:color w:val="000000" w:themeColor="text1"/>
          <w:shd w:val="clear" w:color="auto" w:fill="FFFFFF"/>
        </w:rPr>
        <w:t>KAMBOTI: Jurnal Sosial Dan Humaniora</w:t>
      </w:r>
      <w:r w:rsidRPr="002D601E">
        <w:rPr>
          <w:rFonts w:ascii="Times New Roman" w:hAnsi="Times New Roman" w:cs="Times New Roman"/>
          <w:color w:val="000000" w:themeColor="text1"/>
          <w:shd w:val="clear" w:color="auto" w:fill="FFFFFF"/>
        </w:rPr>
        <w:t xml:space="preserve"> , </w:t>
      </w:r>
      <w:r w:rsidRPr="002D601E">
        <w:rPr>
          <w:rFonts w:ascii="Times New Roman" w:hAnsi="Times New Roman" w:cs="Times New Roman"/>
          <w:i/>
          <w:iCs/>
          <w:color w:val="000000" w:themeColor="text1"/>
          <w:shd w:val="clear" w:color="auto" w:fill="FFFFFF"/>
        </w:rPr>
        <w:t>6</w:t>
      </w:r>
      <w:r w:rsidRPr="002D601E">
        <w:rPr>
          <w:rFonts w:ascii="Times New Roman" w:hAnsi="Times New Roman" w:cs="Times New Roman"/>
          <w:color w:val="000000" w:themeColor="text1"/>
          <w:shd w:val="clear" w:color="auto" w:fill="FFFFFF"/>
        </w:rPr>
        <w:t xml:space="preserve"> (1), 33-41.</w:t>
      </w:r>
    </w:p>
    <w:p w14:paraId="2AA319F5" w14:textId="77777777" w:rsidR="002D601E" w:rsidRPr="002D601E" w:rsidRDefault="002D601E" w:rsidP="002D601E">
      <w:pPr>
        <w:spacing w:after="0" w:line="240" w:lineRule="auto"/>
        <w:ind w:left="584" w:hanging="584"/>
        <w:jc w:val="both"/>
        <w:rPr>
          <w:rFonts w:ascii="Times New Roman" w:hAnsi="Times New Roman" w:cs="Times New Roman"/>
          <w:color w:val="000000" w:themeColor="text1"/>
        </w:rPr>
      </w:pPr>
      <w:r w:rsidRPr="002D601E">
        <w:rPr>
          <w:rFonts w:ascii="Times New Roman" w:hAnsi="Times New Roman" w:cs="Times New Roman"/>
          <w:color w:val="000000" w:themeColor="text1"/>
        </w:rPr>
        <w:t xml:space="preserve">Murdiyanto Eko. 2020. </w:t>
      </w:r>
      <w:r w:rsidRPr="002D601E">
        <w:rPr>
          <w:rFonts w:ascii="Times New Roman" w:hAnsi="Times New Roman" w:cs="Times New Roman"/>
          <w:i/>
          <w:iCs/>
          <w:color w:val="000000" w:themeColor="text1"/>
        </w:rPr>
        <w:t xml:space="preserve">Penelitian Kualitatif (Teori dan Aplikasi disertai contoh Proposal. </w:t>
      </w:r>
      <w:r w:rsidRPr="002D601E">
        <w:rPr>
          <w:rFonts w:ascii="Times New Roman" w:hAnsi="Times New Roman" w:cs="Times New Roman"/>
          <w:color w:val="000000" w:themeColor="text1"/>
        </w:rPr>
        <w:t>Edisi I. Yogyakarta. Lembaga Penelitian dan Pengabdian Pada Masyarakat UPN “Veteran” Yogyakarta Press ISBN: 978-623-7840-32-9</w:t>
      </w:r>
    </w:p>
    <w:p w14:paraId="4E27A23F" w14:textId="77777777" w:rsidR="002D601E" w:rsidRPr="002D601E" w:rsidRDefault="002D601E" w:rsidP="002D601E">
      <w:pPr>
        <w:spacing w:after="0" w:line="240" w:lineRule="auto"/>
        <w:ind w:left="584" w:hanging="584"/>
        <w:jc w:val="both"/>
        <w:rPr>
          <w:rFonts w:ascii="Times New Roman" w:hAnsi="Times New Roman" w:cs="Times New Roman"/>
          <w:i/>
          <w:iCs/>
          <w:color w:val="000000" w:themeColor="text1"/>
        </w:rPr>
      </w:pPr>
      <w:r w:rsidRPr="002D601E">
        <w:rPr>
          <w:rFonts w:ascii="Times New Roman" w:hAnsi="Times New Roman" w:cs="Times New Roman"/>
          <w:color w:val="000000" w:themeColor="text1"/>
          <w:shd w:val="clear" w:color="auto" w:fill="FFFFFF"/>
        </w:rPr>
        <w:t>Nugraha, E., &amp; Wahyono, B. (2023). Analisis Implementasi Kebijakan Permenkes Nomor 67 Tahun 2016 Tentang Penanggulangan Tuberkulosis di Kabupaten Kudus Tahun 2021 (Studi Kasus di Wilayah Kerja Puskesmas Purwosari Kudus). </w:t>
      </w:r>
      <w:r w:rsidRPr="002D601E">
        <w:rPr>
          <w:rFonts w:ascii="Times New Roman" w:hAnsi="Times New Roman" w:cs="Times New Roman"/>
          <w:i/>
          <w:iCs/>
          <w:color w:val="000000" w:themeColor="text1"/>
          <w:shd w:val="clear" w:color="auto" w:fill="FFFFFF"/>
        </w:rPr>
        <w:t>Jurnal Penelitian Dan Pengembangan Kesehatan Masyarakat Indonesia, 4(2).</w:t>
      </w:r>
      <w:r w:rsidRPr="002D601E">
        <w:rPr>
          <w:rFonts w:ascii="Times New Roman" w:hAnsi="Times New Roman" w:cs="Times New Roman"/>
          <w:color w:val="000000" w:themeColor="text1"/>
          <w:shd w:val="clear" w:color="auto" w:fill="FFFFFF"/>
        </w:rPr>
        <w:t xml:space="preserve"> </w:t>
      </w:r>
      <w:hyperlink r:id="rId16" w:history="1">
        <w:r w:rsidRPr="002D601E">
          <w:rPr>
            <w:rStyle w:val="Hyperlink"/>
            <w:rFonts w:ascii="Times New Roman" w:hAnsi="Times New Roman" w:cs="Times New Roman"/>
            <w:color w:val="000000" w:themeColor="text1"/>
            <w:u w:val="none"/>
            <w:shd w:val="clear" w:color="auto" w:fill="FFFFFF"/>
          </w:rPr>
          <w:t>https://doi.org/10.15294/jppkmi.v4i2.72895</w:t>
        </w:r>
      </w:hyperlink>
    </w:p>
    <w:p w14:paraId="61882759" w14:textId="77777777" w:rsidR="002D601E" w:rsidRPr="002D601E" w:rsidRDefault="002D601E" w:rsidP="002D601E">
      <w:pPr>
        <w:spacing w:after="0" w:line="240" w:lineRule="auto"/>
        <w:ind w:left="584" w:hanging="584"/>
        <w:jc w:val="both"/>
        <w:rPr>
          <w:rStyle w:val="Hyperlink"/>
          <w:rFonts w:ascii="Times New Roman" w:hAnsi="Times New Roman" w:cs="Times New Roman"/>
          <w:color w:val="000000" w:themeColor="text1"/>
          <w:u w:val="none"/>
        </w:rPr>
      </w:pPr>
      <w:r w:rsidRPr="002D601E">
        <w:rPr>
          <w:rFonts w:ascii="Times New Roman" w:hAnsi="Times New Roman" w:cs="Times New Roman"/>
          <w:color w:val="000000" w:themeColor="text1"/>
        </w:rPr>
        <w:t>Panggabean, K. G, &amp; Winarti, N. (2024). Implementasi Kebijakan Penanggulangan Tuberkulosis di Provinsi Kepulauan Riau. </w:t>
      </w:r>
      <w:r w:rsidRPr="002D601E">
        <w:rPr>
          <w:rFonts w:ascii="Times New Roman" w:hAnsi="Times New Roman" w:cs="Times New Roman"/>
          <w:i/>
          <w:iCs/>
          <w:color w:val="000000" w:themeColor="text1"/>
        </w:rPr>
        <w:t>Jurnal Manajemen Pendidikan Dan Ilmu Sosial</w:t>
      </w:r>
      <w:r w:rsidRPr="002D601E">
        <w:rPr>
          <w:rFonts w:ascii="Times New Roman" w:hAnsi="Times New Roman" w:cs="Times New Roman"/>
          <w:color w:val="000000" w:themeColor="text1"/>
        </w:rPr>
        <w:t>, </w:t>
      </w:r>
      <w:r w:rsidRPr="002D601E">
        <w:rPr>
          <w:rFonts w:ascii="Times New Roman" w:hAnsi="Times New Roman" w:cs="Times New Roman"/>
          <w:i/>
          <w:iCs/>
          <w:color w:val="000000" w:themeColor="text1"/>
        </w:rPr>
        <w:t>5</w:t>
      </w:r>
      <w:r w:rsidRPr="002D601E">
        <w:rPr>
          <w:rFonts w:ascii="Times New Roman" w:hAnsi="Times New Roman" w:cs="Times New Roman"/>
          <w:color w:val="000000" w:themeColor="text1"/>
        </w:rPr>
        <w:t xml:space="preserve">(3), 486–496. </w:t>
      </w:r>
      <w:hyperlink r:id="rId17" w:history="1">
        <w:r w:rsidRPr="002D601E">
          <w:rPr>
            <w:rStyle w:val="Hyperlink"/>
            <w:rFonts w:ascii="Times New Roman" w:hAnsi="Times New Roman" w:cs="Times New Roman"/>
            <w:color w:val="000000" w:themeColor="text1"/>
            <w:u w:val="none"/>
          </w:rPr>
          <w:t>https://doi.org/10.38035/jmpis.v5i3.1998</w:t>
        </w:r>
      </w:hyperlink>
    </w:p>
    <w:p w14:paraId="3F5A60B7" w14:textId="77777777" w:rsidR="002D601E" w:rsidRPr="002D601E" w:rsidRDefault="002D601E" w:rsidP="002D601E">
      <w:pPr>
        <w:spacing w:after="0" w:line="240" w:lineRule="auto"/>
        <w:ind w:left="584" w:hanging="584"/>
        <w:jc w:val="both"/>
        <w:rPr>
          <w:rFonts w:ascii="Times New Roman" w:hAnsi="Times New Roman" w:cs="Times New Roman"/>
          <w:color w:val="000000" w:themeColor="text1"/>
        </w:rPr>
      </w:pPr>
      <w:r w:rsidRPr="002D601E">
        <w:rPr>
          <w:rFonts w:ascii="Times New Roman" w:hAnsi="Times New Roman" w:cs="Times New Roman"/>
          <w:color w:val="000000" w:themeColor="text1"/>
        </w:rPr>
        <w:t xml:space="preserve">Pemerintah Indonesia. (2021). </w:t>
      </w:r>
      <w:r w:rsidRPr="002D601E">
        <w:rPr>
          <w:rFonts w:ascii="Times New Roman" w:hAnsi="Times New Roman" w:cs="Times New Roman"/>
          <w:i/>
          <w:iCs/>
          <w:color w:val="000000" w:themeColor="text1"/>
        </w:rPr>
        <w:t>Peraturan Presiden No 67 Tahun 2021 Tentang Penanggulangan Tuberkulosis</w:t>
      </w:r>
      <w:r w:rsidRPr="002D601E">
        <w:rPr>
          <w:rFonts w:ascii="Times New Roman" w:hAnsi="Times New Roman" w:cs="Times New Roman"/>
          <w:color w:val="000000" w:themeColor="text1"/>
        </w:rPr>
        <w:t xml:space="preserve">. </w:t>
      </w:r>
      <w:hyperlink r:id="rId18" w:history="1">
        <w:r w:rsidRPr="002D601E">
          <w:rPr>
            <w:rStyle w:val="Hyperlink"/>
            <w:rFonts w:ascii="Times New Roman" w:hAnsi="Times New Roman" w:cs="Times New Roman"/>
            <w:color w:val="000000" w:themeColor="text1"/>
            <w:u w:val="none"/>
          </w:rPr>
          <w:t>https://peraturan.bpk.go.id/Details/174557/perpres-no-67-tahun-2021</w:t>
        </w:r>
      </w:hyperlink>
    </w:p>
    <w:p w14:paraId="093D2F17" w14:textId="77777777" w:rsidR="002D601E" w:rsidRPr="002D601E" w:rsidRDefault="002D601E" w:rsidP="002D601E">
      <w:pPr>
        <w:spacing w:after="0" w:line="240" w:lineRule="auto"/>
        <w:ind w:left="584" w:hanging="584"/>
        <w:jc w:val="both"/>
        <w:rPr>
          <w:rFonts w:ascii="Times New Roman" w:hAnsi="Times New Roman" w:cs="Times New Roman"/>
          <w:color w:val="000000" w:themeColor="text1"/>
        </w:rPr>
      </w:pPr>
      <w:r w:rsidRPr="002D601E">
        <w:rPr>
          <w:rFonts w:ascii="Times New Roman" w:hAnsi="Times New Roman" w:cs="Times New Roman"/>
          <w:color w:val="000000" w:themeColor="text1"/>
        </w:rPr>
        <w:t xml:space="preserve">Pemerintah Kota Pekanbaru. (2023). </w:t>
      </w:r>
      <w:r w:rsidRPr="002D601E">
        <w:rPr>
          <w:rFonts w:ascii="Times New Roman" w:hAnsi="Times New Roman" w:cs="Times New Roman"/>
          <w:i/>
          <w:iCs/>
          <w:color w:val="000000" w:themeColor="text1"/>
        </w:rPr>
        <w:t>Peraturan Wali Kota Pekanbaru No 30 Tahun 2023 Tentang Penanggulangan Tuberkulosis di Kota Pekanbaru.</w:t>
      </w:r>
      <w:r w:rsidRPr="002D601E">
        <w:rPr>
          <w:rFonts w:ascii="Times New Roman" w:hAnsi="Times New Roman" w:cs="Times New Roman"/>
          <w:color w:val="000000" w:themeColor="text1"/>
        </w:rPr>
        <w:t xml:space="preserve"> </w:t>
      </w:r>
      <w:hyperlink r:id="rId19" w:history="1">
        <w:r w:rsidRPr="002D601E">
          <w:rPr>
            <w:rStyle w:val="Hyperlink"/>
            <w:rFonts w:ascii="Times New Roman" w:hAnsi="Times New Roman" w:cs="Times New Roman"/>
            <w:color w:val="000000" w:themeColor="text1"/>
            <w:u w:val="none"/>
          </w:rPr>
          <w:t>https://peraturan.bpk.go.id/Details/311786/perwali-kota-pekanbaru-no-30-tahun-2023</w:t>
        </w:r>
      </w:hyperlink>
    </w:p>
    <w:p w14:paraId="0B443A55" w14:textId="77777777" w:rsidR="002D601E" w:rsidRPr="002D601E" w:rsidRDefault="002D601E" w:rsidP="002D601E">
      <w:pPr>
        <w:spacing w:after="0" w:line="240" w:lineRule="auto"/>
        <w:ind w:left="584" w:hanging="584"/>
        <w:jc w:val="both"/>
        <w:rPr>
          <w:rFonts w:ascii="Times New Roman" w:hAnsi="Times New Roman" w:cs="Times New Roman"/>
          <w:color w:val="000000" w:themeColor="text1"/>
        </w:rPr>
      </w:pPr>
      <w:r w:rsidRPr="002D601E">
        <w:rPr>
          <w:rFonts w:ascii="Times New Roman" w:hAnsi="Times New Roman" w:cs="Times New Roman"/>
          <w:color w:val="000000" w:themeColor="text1"/>
        </w:rPr>
        <w:t xml:space="preserve">Pramono Joko. 2020. </w:t>
      </w:r>
      <w:r w:rsidRPr="002D601E">
        <w:rPr>
          <w:rFonts w:ascii="Times New Roman" w:hAnsi="Times New Roman" w:cs="Times New Roman"/>
          <w:i/>
          <w:iCs/>
          <w:color w:val="000000" w:themeColor="text1"/>
        </w:rPr>
        <w:t>Implementasi dan Evaluasi Kebijakan publik</w:t>
      </w:r>
      <w:r w:rsidRPr="002D601E">
        <w:rPr>
          <w:rFonts w:ascii="Times New Roman" w:hAnsi="Times New Roman" w:cs="Times New Roman"/>
          <w:color w:val="000000" w:themeColor="text1"/>
        </w:rPr>
        <w:t>. Surakarta: UNISRI Press</w:t>
      </w:r>
    </w:p>
    <w:p w14:paraId="537E9277"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eastAsia="Times New Roman" w:hAnsi="Times New Roman" w:cs="Times New Roman"/>
          <w:color w:val="000000" w:themeColor="text1"/>
        </w:rPr>
        <w:fldChar w:fldCharType="begin" w:fldLock="1"/>
      </w:r>
      <w:r w:rsidRPr="002D601E">
        <w:rPr>
          <w:rFonts w:ascii="Times New Roman" w:eastAsia="Times New Roman" w:hAnsi="Times New Roman" w:cs="Times New Roman"/>
          <w:color w:val="000000" w:themeColor="text1"/>
        </w:rPr>
        <w:instrText xml:space="preserve">ADDIN Mendeley Bibliography CSL_BIBLIOGRAPHY </w:instrText>
      </w:r>
      <w:r w:rsidRPr="002D601E">
        <w:rPr>
          <w:rFonts w:ascii="Times New Roman" w:eastAsia="Times New Roman" w:hAnsi="Times New Roman" w:cs="Times New Roman"/>
          <w:color w:val="000000" w:themeColor="text1"/>
        </w:rPr>
        <w:fldChar w:fldCharType="separate"/>
      </w:r>
      <w:r w:rsidRPr="002D601E">
        <w:rPr>
          <w:rFonts w:ascii="Times New Roman" w:hAnsi="Times New Roman" w:cs="Times New Roman"/>
          <w:noProof/>
          <w:color w:val="000000" w:themeColor="text1"/>
        </w:rPr>
        <w:t xml:space="preserve">Pratama, M. Y., Gurning, F. P., &amp; Suharto. (2019). Implementasi Penanggulangan Tuberkulosis Di Puskesmas Glugur Darat Kota Medan. </w:t>
      </w:r>
      <w:r w:rsidRPr="002D601E">
        <w:rPr>
          <w:rFonts w:ascii="Times New Roman" w:hAnsi="Times New Roman" w:cs="Times New Roman"/>
          <w:i/>
          <w:iCs/>
          <w:noProof/>
          <w:color w:val="000000" w:themeColor="text1"/>
        </w:rPr>
        <w:t>Kesmas Asclepius</w:t>
      </w:r>
      <w:r w:rsidRPr="002D601E">
        <w:rPr>
          <w:rFonts w:ascii="Times New Roman" w:hAnsi="Times New Roman" w:cs="Times New Roman"/>
          <w:noProof/>
          <w:color w:val="000000" w:themeColor="text1"/>
        </w:rPr>
        <w:t xml:space="preserve">, </w:t>
      </w:r>
      <w:r w:rsidRPr="002D601E">
        <w:rPr>
          <w:rFonts w:ascii="Times New Roman" w:hAnsi="Times New Roman" w:cs="Times New Roman"/>
          <w:i/>
          <w:iCs/>
          <w:noProof/>
          <w:color w:val="000000" w:themeColor="text1"/>
        </w:rPr>
        <w:t>1</w:t>
      </w:r>
      <w:r w:rsidRPr="002D601E">
        <w:rPr>
          <w:rFonts w:ascii="Times New Roman" w:hAnsi="Times New Roman" w:cs="Times New Roman"/>
          <w:noProof/>
          <w:color w:val="000000" w:themeColor="text1"/>
        </w:rPr>
        <w:t>, 196–205.</w:t>
      </w:r>
    </w:p>
    <w:p w14:paraId="39C5B2ED"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eastAsia="Times New Roman" w:hAnsi="Times New Roman" w:cs="Times New Roman"/>
          <w:color w:val="000000" w:themeColor="text1"/>
        </w:rPr>
        <w:fldChar w:fldCharType="end"/>
      </w:r>
      <w:bookmarkStart w:id="0" w:name="_Hlk150316567"/>
      <w:r w:rsidRPr="002D601E">
        <w:rPr>
          <w:rFonts w:ascii="Times New Roman" w:hAnsi="Times New Roman" w:cs="Times New Roman"/>
          <w:color w:val="000000" w:themeColor="text1"/>
        </w:rPr>
        <w:fldChar w:fldCharType="begin" w:fldLock="1"/>
      </w:r>
      <w:r w:rsidRPr="002D601E">
        <w:rPr>
          <w:rFonts w:ascii="Times New Roman" w:hAnsi="Times New Roman" w:cs="Times New Roman"/>
          <w:color w:val="000000" w:themeColor="text1"/>
        </w:rPr>
        <w:instrText xml:space="preserve">ADDIN Mendeley Bibliography CSL_BIBLIOGRAPHY </w:instrText>
      </w:r>
      <w:r w:rsidRPr="002D601E">
        <w:rPr>
          <w:rFonts w:ascii="Times New Roman" w:hAnsi="Times New Roman" w:cs="Times New Roman"/>
          <w:color w:val="000000" w:themeColor="text1"/>
        </w:rPr>
        <w:fldChar w:fldCharType="separate"/>
      </w:r>
      <w:r w:rsidRPr="002D601E">
        <w:rPr>
          <w:rFonts w:ascii="Times New Roman" w:hAnsi="Times New Roman" w:cs="Times New Roman"/>
          <w:noProof/>
          <w:color w:val="000000" w:themeColor="text1"/>
        </w:rPr>
        <w:t xml:space="preserve">Probandari, A., Harbianto, D., Meyanti, F., &amp; Houben, R. (2020). </w:t>
      </w:r>
      <w:r w:rsidRPr="002D601E">
        <w:rPr>
          <w:rFonts w:ascii="Times New Roman" w:hAnsi="Times New Roman" w:cs="Times New Roman"/>
          <w:i/>
          <w:iCs/>
          <w:noProof/>
          <w:color w:val="000000" w:themeColor="text1"/>
        </w:rPr>
        <w:t>Strategi Nasional Penanggulangan Tuberkulosis di Indonesia 2020-2024</w:t>
      </w:r>
      <w:r w:rsidRPr="002D601E">
        <w:rPr>
          <w:rFonts w:ascii="Times New Roman" w:hAnsi="Times New Roman" w:cs="Times New Roman"/>
          <w:noProof/>
          <w:color w:val="000000" w:themeColor="text1"/>
        </w:rPr>
        <w:t xml:space="preserve">. In Nurjannah &amp; S. Widada (Eds.), </w:t>
      </w:r>
      <w:r w:rsidRPr="002D601E">
        <w:rPr>
          <w:rFonts w:ascii="Times New Roman" w:hAnsi="Times New Roman" w:cs="Times New Roman"/>
          <w:i/>
          <w:iCs/>
          <w:noProof/>
          <w:color w:val="000000" w:themeColor="text1"/>
        </w:rPr>
        <w:t>Kemenkes RI</w:t>
      </w:r>
      <w:r w:rsidRPr="002D601E">
        <w:rPr>
          <w:rFonts w:ascii="Times New Roman" w:hAnsi="Times New Roman" w:cs="Times New Roman"/>
          <w:noProof/>
          <w:color w:val="000000" w:themeColor="text1"/>
        </w:rPr>
        <w:t xml:space="preserve"> (1st ed.). Kementrian Kesehatan Republuk Indonesia.</w:t>
      </w:r>
    </w:p>
    <w:p w14:paraId="706E03D0" w14:textId="77777777" w:rsidR="002D601E" w:rsidRPr="002D601E" w:rsidRDefault="002D601E" w:rsidP="002D601E">
      <w:pPr>
        <w:spacing w:after="0" w:line="240" w:lineRule="auto"/>
        <w:ind w:left="584" w:hanging="584"/>
        <w:jc w:val="both"/>
        <w:rPr>
          <w:rStyle w:val="Hyperlink"/>
          <w:rFonts w:ascii="Times New Roman" w:hAnsi="Times New Roman" w:cs="Times New Roman"/>
          <w:color w:val="000000" w:themeColor="text1"/>
          <w:u w:val="none"/>
          <w:shd w:val="clear" w:color="auto" w:fill="FFFFFF"/>
        </w:rPr>
      </w:pPr>
      <w:r w:rsidRPr="002D601E">
        <w:rPr>
          <w:rFonts w:ascii="Times New Roman" w:hAnsi="Times New Roman" w:cs="Times New Roman"/>
          <w:color w:val="000000" w:themeColor="text1"/>
          <w:shd w:val="clear" w:color="auto" w:fill="FFFFFF"/>
        </w:rPr>
        <w:t>Putriady, E. (2022). Implementasi Kebijakan Pemerintah Permenkes No 67 Tahun 2016 Dalam Penanggulangan Tuberkulosis Di Kota Medan.</w:t>
      </w:r>
      <w:r w:rsidRPr="002D601E">
        <w:rPr>
          <w:rFonts w:ascii="Times New Roman" w:hAnsi="Times New Roman" w:cs="Times New Roman"/>
          <w:i/>
          <w:iCs/>
          <w:color w:val="000000" w:themeColor="text1"/>
          <w:shd w:val="clear" w:color="auto" w:fill="FFFFFF"/>
        </w:rPr>
        <w:t> Journal Scientific of Mandalika (JSM)</w:t>
      </w:r>
      <w:r w:rsidRPr="002D601E">
        <w:rPr>
          <w:rFonts w:ascii="Times New Roman" w:hAnsi="Times New Roman" w:cs="Times New Roman"/>
          <w:color w:val="000000" w:themeColor="text1"/>
          <w:shd w:val="clear" w:color="auto" w:fill="FFFFFF"/>
        </w:rPr>
        <w:t xml:space="preserve"> E-ISSN 2745-5955 | P-ISSN 2809-0543, 3(6), 576-581. </w:t>
      </w:r>
      <w:hyperlink r:id="rId20" w:history="1">
        <w:r w:rsidRPr="002D601E">
          <w:rPr>
            <w:rStyle w:val="Hyperlink"/>
            <w:rFonts w:ascii="Times New Roman" w:hAnsi="Times New Roman" w:cs="Times New Roman"/>
            <w:color w:val="000000" w:themeColor="text1"/>
            <w:u w:val="none"/>
            <w:shd w:val="clear" w:color="auto" w:fill="FFFFFF"/>
          </w:rPr>
          <w:t>https://doi.org/10.36312/10.36312/vol3iss6pp576-581</w:t>
        </w:r>
      </w:hyperlink>
    </w:p>
    <w:p w14:paraId="47953AF9" w14:textId="77777777" w:rsidR="002D601E" w:rsidRPr="002D601E" w:rsidRDefault="002D601E" w:rsidP="002D601E">
      <w:pPr>
        <w:spacing w:after="0" w:line="240" w:lineRule="auto"/>
        <w:ind w:left="584" w:hanging="584"/>
        <w:jc w:val="both"/>
        <w:rPr>
          <w:rStyle w:val="Hyperlink"/>
          <w:rFonts w:ascii="Times New Roman" w:hAnsi="Times New Roman" w:cs="Times New Roman"/>
          <w:color w:val="000000" w:themeColor="text1"/>
          <w:u w:val="none"/>
          <w:shd w:val="clear" w:color="auto" w:fill="FFFFFF"/>
        </w:rPr>
      </w:pPr>
      <w:r w:rsidRPr="002D601E">
        <w:rPr>
          <w:rStyle w:val="Hyperlink"/>
          <w:rFonts w:ascii="Times New Roman" w:hAnsi="Times New Roman" w:cs="Times New Roman"/>
          <w:color w:val="000000" w:themeColor="text1"/>
          <w:u w:val="none"/>
          <w:shd w:val="clear" w:color="auto" w:fill="FFFFFF"/>
        </w:rPr>
        <w:t xml:space="preserve">Rasyid, B.S., (2023). Implementasi Edukasi Kesehatan Tentang Penyakit TB paru Terhadap Pengetahuan Pencegahan Penularan Penyakit TB Paru. </w:t>
      </w:r>
      <w:r w:rsidRPr="002D601E">
        <w:rPr>
          <w:rStyle w:val="Hyperlink"/>
          <w:rFonts w:ascii="Times New Roman" w:hAnsi="Times New Roman" w:cs="Times New Roman"/>
          <w:i/>
          <w:iCs/>
          <w:color w:val="000000" w:themeColor="text1"/>
          <w:u w:val="none"/>
          <w:shd w:val="clear" w:color="auto" w:fill="FFFFFF"/>
        </w:rPr>
        <w:t>Jurnal Cendikia Muda.</w:t>
      </w:r>
      <w:r w:rsidRPr="002D601E">
        <w:rPr>
          <w:rStyle w:val="Hyperlink"/>
          <w:rFonts w:ascii="Times New Roman" w:hAnsi="Times New Roman" w:cs="Times New Roman"/>
          <w:color w:val="000000" w:themeColor="text1"/>
          <w:u w:val="none"/>
          <w:shd w:val="clear" w:color="auto" w:fill="FFFFFF"/>
        </w:rPr>
        <w:t xml:space="preserve"> Volume 5, No 1 2023 ISSN: 2807-3469</w:t>
      </w:r>
    </w:p>
    <w:p w14:paraId="43043866" w14:textId="77777777" w:rsidR="002D601E" w:rsidRPr="002D601E" w:rsidRDefault="002D601E" w:rsidP="002D601E">
      <w:pPr>
        <w:spacing w:after="0" w:line="240" w:lineRule="auto"/>
        <w:ind w:left="584" w:hanging="584"/>
        <w:jc w:val="both"/>
        <w:rPr>
          <w:rStyle w:val="Hyperlink"/>
          <w:rFonts w:ascii="Times New Roman" w:hAnsi="Times New Roman" w:cs="Times New Roman"/>
          <w:color w:val="000000" w:themeColor="text1"/>
          <w:u w:val="none"/>
          <w:shd w:val="clear" w:color="auto" w:fill="FFFFFF"/>
        </w:rPr>
      </w:pPr>
      <w:r w:rsidRPr="002D601E">
        <w:rPr>
          <w:rStyle w:val="Hyperlink"/>
          <w:rFonts w:ascii="Times New Roman" w:hAnsi="Times New Roman" w:cs="Times New Roman"/>
          <w:color w:val="000000" w:themeColor="text1"/>
          <w:u w:val="none"/>
          <w:shd w:val="clear" w:color="auto" w:fill="FFFFFF"/>
        </w:rPr>
        <w:t xml:space="preserve">Sembiring, S.P.K, (2019) </w:t>
      </w:r>
      <w:r w:rsidRPr="002D601E">
        <w:rPr>
          <w:rStyle w:val="Hyperlink"/>
          <w:rFonts w:ascii="Times New Roman" w:hAnsi="Times New Roman" w:cs="Times New Roman"/>
          <w:i/>
          <w:iCs/>
          <w:color w:val="000000" w:themeColor="text1"/>
          <w:u w:val="none"/>
          <w:shd w:val="clear" w:color="auto" w:fill="FFFFFF"/>
        </w:rPr>
        <w:t>Indonesia bebas tuberkulosis</w:t>
      </w:r>
      <w:r w:rsidRPr="002D601E">
        <w:rPr>
          <w:rStyle w:val="Hyperlink"/>
          <w:rFonts w:ascii="Times New Roman" w:hAnsi="Times New Roman" w:cs="Times New Roman"/>
          <w:color w:val="000000" w:themeColor="text1"/>
          <w:u w:val="none"/>
          <w:shd w:val="clear" w:color="auto" w:fill="FFFFFF"/>
        </w:rPr>
        <w:t>. Sukabumi: CV Jejak</w:t>
      </w:r>
    </w:p>
    <w:p w14:paraId="13F48802"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hAnsi="Times New Roman" w:cs="Times New Roman"/>
          <w:noProof/>
          <w:color w:val="000000" w:themeColor="text1"/>
        </w:rPr>
        <w:t xml:space="preserve">Stop TB Partnership. (2021). </w:t>
      </w:r>
      <w:r w:rsidRPr="002D601E">
        <w:rPr>
          <w:rFonts w:ascii="Times New Roman" w:hAnsi="Times New Roman" w:cs="Times New Roman"/>
          <w:i/>
          <w:iCs/>
          <w:noProof/>
          <w:color w:val="000000" w:themeColor="text1"/>
        </w:rPr>
        <w:t>Global plan to End TB:2018-2022</w:t>
      </w:r>
      <w:r w:rsidRPr="002D601E">
        <w:rPr>
          <w:rFonts w:ascii="Times New Roman" w:hAnsi="Times New Roman" w:cs="Times New Roman"/>
          <w:noProof/>
          <w:color w:val="000000" w:themeColor="text1"/>
        </w:rPr>
        <w:t>. Stop TB Partnership</w:t>
      </w:r>
    </w:p>
    <w:p w14:paraId="27127E3C"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hAnsi="Times New Roman" w:cs="Times New Roman"/>
          <w:noProof/>
          <w:color w:val="000000" w:themeColor="text1"/>
        </w:rPr>
        <w:t xml:space="preserve">Stiawati,Titi. (2025). Implementasi Eliminasi TBC dalam Mewujudkan Lingkungan Sehat di kecamatan Cibeber Kabupaten Lebak. </w:t>
      </w:r>
      <w:r w:rsidRPr="002D601E">
        <w:rPr>
          <w:rFonts w:ascii="Times New Roman" w:hAnsi="Times New Roman" w:cs="Times New Roman"/>
          <w:i/>
          <w:iCs/>
          <w:noProof/>
          <w:color w:val="000000" w:themeColor="text1"/>
        </w:rPr>
        <w:t xml:space="preserve">Jurnal Ilmu Administrasi Publik. </w:t>
      </w:r>
      <w:r w:rsidRPr="002D601E">
        <w:rPr>
          <w:rFonts w:ascii="Times New Roman" w:hAnsi="Times New Roman" w:cs="Times New Roman"/>
          <w:noProof/>
          <w:color w:val="000000" w:themeColor="text1"/>
        </w:rPr>
        <w:t>Vol.11, No. 2/2025. DOI 10.25299/jiap.2025.22704</w:t>
      </w:r>
    </w:p>
    <w:p w14:paraId="0B817E8B"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hAnsi="Times New Roman" w:cs="Times New Roman"/>
          <w:noProof/>
          <w:color w:val="000000" w:themeColor="text1"/>
        </w:rPr>
        <w:t xml:space="preserve">Sugiyono, (2013). </w:t>
      </w:r>
      <w:r w:rsidRPr="002D601E">
        <w:rPr>
          <w:rFonts w:ascii="Times New Roman" w:hAnsi="Times New Roman" w:cs="Times New Roman"/>
          <w:i/>
          <w:iCs/>
          <w:noProof/>
          <w:color w:val="000000" w:themeColor="text1"/>
        </w:rPr>
        <w:t>Metode Penelitian Kuantitatif, Kualitatif, Dan R&amp;D</w:t>
      </w:r>
      <w:r w:rsidRPr="002D601E">
        <w:rPr>
          <w:rFonts w:ascii="Times New Roman" w:hAnsi="Times New Roman" w:cs="Times New Roman"/>
          <w:noProof/>
          <w:color w:val="000000" w:themeColor="text1"/>
        </w:rPr>
        <w:t>. Bandung: Alfabeta</w:t>
      </w:r>
    </w:p>
    <w:p w14:paraId="01E05D90"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eastAsia="Times New Roman" w:hAnsi="Times New Roman" w:cs="Times New Roman"/>
          <w:color w:val="000000" w:themeColor="text1"/>
        </w:rPr>
        <w:t>___</w:t>
      </w:r>
      <w:r w:rsidRPr="002D601E">
        <w:rPr>
          <w:rFonts w:ascii="Times New Roman" w:hAnsi="Times New Roman" w:cs="Times New Roman"/>
          <w:noProof/>
          <w:color w:val="000000" w:themeColor="text1"/>
        </w:rPr>
        <w:t xml:space="preserve">_(2017). </w:t>
      </w:r>
      <w:r w:rsidRPr="002D601E">
        <w:rPr>
          <w:rFonts w:ascii="Times New Roman" w:hAnsi="Times New Roman" w:cs="Times New Roman"/>
          <w:i/>
          <w:iCs/>
          <w:noProof/>
          <w:color w:val="000000" w:themeColor="text1"/>
        </w:rPr>
        <w:t>Metode Penelitian Kualitatif</w:t>
      </w:r>
      <w:r w:rsidRPr="002D601E">
        <w:rPr>
          <w:rFonts w:ascii="Times New Roman" w:hAnsi="Times New Roman" w:cs="Times New Roman"/>
          <w:noProof/>
          <w:color w:val="000000" w:themeColor="text1"/>
        </w:rPr>
        <w:t>. Bandung: Alfabeta</w:t>
      </w:r>
    </w:p>
    <w:p w14:paraId="1772003B"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hAnsi="Times New Roman" w:cs="Times New Roman"/>
          <w:noProof/>
          <w:color w:val="000000" w:themeColor="text1"/>
        </w:rPr>
        <w:t xml:space="preserve">Tachjan, 2022. </w:t>
      </w:r>
      <w:r w:rsidRPr="002D601E">
        <w:rPr>
          <w:rFonts w:ascii="Times New Roman" w:hAnsi="Times New Roman" w:cs="Times New Roman"/>
          <w:i/>
          <w:iCs/>
          <w:noProof/>
          <w:color w:val="000000" w:themeColor="text1"/>
        </w:rPr>
        <w:t>Implementasi Kebijakan Publik</w:t>
      </w:r>
      <w:r w:rsidRPr="002D601E">
        <w:rPr>
          <w:rFonts w:ascii="Times New Roman" w:hAnsi="Times New Roman" w:cs="Times New Roman"/>
          <w:noProof/>
          <w:color w:val="000000" w:themeColor="text1"/>
        </w:rPr>
        <w:t>. Bandung: Asosiasi Ilmu Politik Indonesia (AIPI)</w:t>
      </w:r>
    </w:p>
    <w:p w14:paraId="0B7FA3A4" w14:textId="77777777" w:rsidR="002D601E" w:rsidRPr="002D601E" w:rsidRDefault="002D601E" w:rsidP="002D601E">
      <w:pPr>
        <w:spacing w:after="0" w:line="240" w:lineRule="auto"/>
        <w:ind w:left="584" w:hanging="584"/>
        <w:jc w:val="both"/>
        <w:rPr>
          <w:rFonts w:ascii="Times New Roman" w:hAnsi="Times New Roman" w:cs="Times New Roman"/>
          <w:color w:val="000000" w:themeColor="text1"/>
        </w:rPr>
      </w:pPr>
      <w:r w:rsidRPr="002D601E">
        <w:rPr>
          <w:rFonts w:ascii="Times New Roman" w:eastAsia="Times New Roman" w:hAnsi="Times New Roman" w:cs="Times New Roman"/>
          <w:color w:val="000000" w:themeColor="text1"/>
        </w:rPr>
        <w:t xml:space="preserve">WHO (2022) </w:t>
      </w:r>
      <w:r w:rsidRPr="002D601E">
        <w:rPr>
          <w:rFonts w:ascii="Times New Roman" w:eastAsia="Times New Roman" w:hAnsi="Times New Roman" w:cs="Times New Roman"/>
          <w:i/>
          <w:iCs/>
          <w:color w:val="000000" w:themeColor="text1"/>
        </w:rPr>
        <w:t>Global Tuberculosis</w:t>
      </w:r>
      <w:r w:rsidRPr="002D601E">
        <w:rPr>
          <w:rFonts w:ascii="Times New Roman" w:eastAsia="Times New Roman" w:hAnsi="Times New Roman" w:cs="Times New Roman"/>
          <w:color w:val="000000" w:themeColor="text1"/>
        </w:rPr>
        <w:t xml:space="preserve"> Report: </w:t>
      </w:r>
      <w:r w:rsidRPr="002D601E">
        <w:rPr>
          <w:rFonts w:ascii="Times New Roman" w:hAnsi="Times New Roman" w:cs="Times New Roman"/>
          <w:color w:val="000000" w:themeColor="text1"/>
        </w:rPr>
        <w:t>Geneva: World Health Organization</w:t>
      </w:r>
    </w:p>
    <w:p w14:paraId="3AB58AA4" w14:textId="77777777" w:rsidR="002D601E" w:rsidRPr="002D601E" w:rsidRDefault="002D601E" w:rsidP="002D601E">
      <w:pPr>
        <w:spacing w:after="0" w:line="240" w:lineRule="auto"/>
        <w:ind w:left="584" w:hanging="584"/>
        <w:jc w:val="both"/>
        <w:rPr>
          <w:rFonts w:ascii="Times New Roman" w:hAnsi="Times New Roman" w:cs="Times New Roman"/>
          <w:noProof/>
          <w:color w:val="000000" w:themeColor="text1"/>
        </w:rPr>
      </w:pPr>
      <w:r w:rsidRPr="002D601E">
        <w:rPr>
          <w:rFonts w:ascii="Times New Roman" w:eastAsia="Times New Roman" w:hAnsi="Times New Roman" w:cs="Times New Roman"/>
          <w:color w:val="000000" w:themeColor="text1"/>
        </w:rPr>
        <w:t xml:space="preserve">_____ (2024) </w:t>
      </w:r>
      <w:r w:rsidRPr="002D601E">
        <w:rPr>
          <w:rFonts w:ascii="Times New Roman" w:eastAsia="Times New Roman" w:hAnsi="Times New Roman" w:cs="Times New Roman"/>
          <w:i/>
          <w:iCs/>
          <w:color w:val="000000" w:themeColor="text1"/>
        </w:rPr>
        <w:t>Global Tuberculosis</w:t>
      </w:r>
      <w:r w:rsidRPr="002D601E">
        <w:rPr>
          <w:rFonts w:ascii="Times New Roman" w:eastAsia="Times New Roman" w:hAnsi="Times New Roman" w:cs="Times New Roman"/>
          <w:color w:val="000000" w:themeColor="text1"/>
        </w:rPr>
        <w:t xml:space="preserve"> Report: </w:t>
      </w:r>
      <w:r w:rsidRPr="002D601E">
        <w:rPr>
          <w:rFonts w:ascii="Times New Roman" w:hAnsi="Times New Roman" w:cs="Times New Roman"/>
          <w:color w:val="000000" w:themeColor="text1"/>
        </w:rPr>
        <w:t>Geneva: World Health Organization</w:t>
      </w:r>
    </w:p>
    <w:p w14:paraId="122D5794" w14:textId="61949B08" w:rsidR="005D4B75" w:rsidRPr="009A260F" w:rsidRDefault="002D601E" w:rsidP="002D601E">
      <w:pPr>
        <w:spacing w:after="0" w:line="240" w:lineRule="auto"/>
        <w:ind w:left="584" w:hanging="584"/>
        <w:jc w:val="both"/>
        <w:rPr>
          <w:rFonts w:ascii="Times New Roman" w:eastAsia="Times New Roman" w:hAnsi="Times New Roman" w:cs="Times New Roman"/>
          <w:color w:val="000000" w:themeColor="text1"/>
        </w:rPr>
      </w:pPr>
      <w:r w:rsidRPr="002D601E">
        <w:rPr>
          <w:rFonts w:ascii="Times New Roman" w:hAnsi="Times New Roman" w:cs="Times New Roman"/>
          <w:color w:val="000000" w:themeColor="text1"/>
        </w:rPr>
        <w:fldChar w:fldCharType="end"/>
      </w:r>
      <w:bookmarkEnd w:id="0"/>
    </w:p>
    <w:sectPr w:rsidR="005D4B75" w:rsidRPr="009A260F" w:rsidSect="00D62FF6">
      <w:headerReference w:type="default" r:id="rId21"/>
      <w:footerReference w:type="even" r:id="rId22"/>
      <w:footerReference w:type="default" r:id="rId23"/>
      <w:pgSz w:w="11907" w:h="16840"/>
      <w:pgMar w:top="1440" w:right="1440" w:bottom="1440" w:left="1560" w:header="720" w:footer="1155" w:gutter="0"/>
      <w:pgNumType w:start="439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EE5A2" w14:textId="77777777" w:rsidR="0043740C" w:rsidRDefault="0043740C">
      <w:pPr>
        <w:spacing w:after="0" w:line="240" w:lineRule="auto"/>
      </w:pPr>
      <w:r>
        <w:separator/>
      </w:r>
    </w:p>
  </w:endnote>
  <w:endnote w:type="continuationSeparator" w:id="0">
    <w:p w14:paraId="74501B46" w14:textId="77777777" w:rsidR="0043740C" w:rsidRDefault="00437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Italic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R MT Pro">
    <w:altName w:val="Times New Roman"/>
    <w:charset w:val="00"/>
    <w:family w:val="roman"/>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BF16B" w14:textId="77777777" w:rsidR="00C23D82" w:rsidRDefault="00C86B21">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4B197C13" w14:textId="77777777" w:rsidR="00C23D82" w:rsidRDefault="00C23D8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rPr>
      <w:id w:val="50351660"/>
      <w:docPartObj>
        <w:docPartGallery w:val="Page Numbers (Bottom of Page)"/>
        <w:docPartUnique/>
      </w:docPartObj>
    </w:sdtPr>
    <w:sdtContent>
      <w:p w14:paraId="0E72E0BC" w14:textId="3FDFA314" w:rsidR="00C23D82" w:rsidRDefault="007D19D4">
        <w:pPr>
          <w:pBdr>
            <w:top w:val="nil"/>
            <w:left w:val="nil"/>
            <w:bottom w:val="nil"/>
            <w:right w:val="nil"/>
            <w:between w:val="nil"/>
          </w:pBdr>
          <w:tabs>
            <w:tab w:val="center" w:pos="4680"/>
            <w:tab w:val="right" w:pos="9360"/>
          </w:tabs>
          <w:spacing w:after="0" w:line="240" w:lineRule="auto"/>
          <w:rPr>
            <w:color w:val="000000"/>
          </w:rPr>
        </w:pPr>
        <w:r w:rsidRPr="007D19D4">
          <w:rPr>
            <w:noProof/>
            <w:color w:val="000000"/>
          </w:rPr>
          <mc:AlternateContent>
            <mc:Choice Requires="wps">
              <w:drawing>
                <wp:anchor distT="0" distB="0" distL="114300" distR="114300" simplePos="0" relativeHeight="251665408" behindDoc="0" locked="0" layoutInCell="1" allowOverlap="1" wp14:anchorId="0C4CB85B" wp14:editId="2D98F745">
                  <wp:simplePos x="0" y="0"/>
                  <wp:positionH relativeFrom="margin">
                    <wp:align>center</wp:align>
                  </wp:positionH>
                  <wp:positionV relativeFrom="bottomMargin">
                    <wp:align>center</wp:align>
                  </wp:positionV>
                  <wp:extent cx="551815" cy="238760"/>
                  <wp:effectExtent l="19050" t="19050" r="19685" b="18415"/>
                  <wp:wrapNone/>
                  <wp:docPr id="251821558" name="Double Bracke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7359AF1B" w14:textId="77777777" w:rsidR="007D19D4" w:rsidRDefault="007D19D4">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C4CB85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6" o:spid="_x0000_s1026" type="#_x0000_t185" style="position:absolute;margin-left:0;margin-top:0;width:43.45pt;height:18.8pt;z-index:25166540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7359AF1B" w14:textId="77777777" w:rsidR="007D19D4" w:rsidRDefault="007D19D4">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sidRPr="007D19D4">
          <w:rPr>
            <w:noProof/>
            <w:color w:val="000000"/>
          </w:rPr>
          <mc:AlternateContent>
            <mc:Choice Requires="wps">
              <w:drawing>
                <wp:anchor distT="0" distB="0" distL="114300" distR="114300" simplePos="0" relativeHeight="251664384" behindDoc="0" locked="0" layoutInCell="1" allowOverlap="1" wp14:anchorId="76494143" wp14:editId="3D84DA71">
                  <wp:simplePos x="0" y="0"/>
                  <wp:positionH relativeFrom="margin">
                    <wp:align>center</wp:align>
                  </wp:positionH>
                  <wp:positionV relativeFrom="bottomMargin">
                    <wp:align>center</wp:align>
                  </wp:positionV>
                  <wp:extent cx="5518150" cy="0"/>
                  <wp:effectExtent l="9525" t="9525" r="6350" b="9525"/>
                  <wp:wrapNone/>
                  <wp:docPr id="945965246"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cei="http://schemas.microsoft.com/office/word/2026/wordml/cei">
              <w:pict>
                <v:shapetype w14:anchorId="3DD5BCAD" id="_x0000_t32" coordsize="21600,21600" o:spt="32" o:oned="t" path="m,l21600,21600e" filled="f">
                  <v:path arrowok="t" fillok="f" o:connecttype="none"/>
                  <o:lock v:ext="edit" shapetype="t"/>
                </v:shapetype>
                <v:shape id="Straight Arrow Connector 5" o:spid="_x0000_s1026" type="#_x0000_t32" style="position:absolute;margin-left:0;margin-top:0;width:434.5pt;height:0;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647BF" w14:textId="77777777" w:rsidR="0043740C" w:rsidRDefault="0043740C">
      <w:pPr>
        <w:spacing w:after="0" w:line="240" w:lineRule="auto"/>
      </w:pPr>
      <w:r>
        <w:separator/>
      </w:r>
    </w:p>
  </w:footnote>
  <w:footnote w:type="continuationSeparator" w:id="0">
    <w:p w14:paraId="7A040812" w14:textId="77777777" w:rsidR="0043740C" w:rsidRDefault="00437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3C96" w14:textId="40C1EA87" w:rsidR="003355F4" w:rsidRPr="0047716D" w:rsidRDefault="00817342" w:rsidP="003355F4">
    <w:pPr>
      <w:pBdr>
        <w:top w:val="nil"/>
        <w:left w:val="nil"/>
        <w:bottom w:val="nil"/>
        <w:right w:val="nil"/>
        <w:between w:val="nil"/>
      </w:pBdr>
      <w:tabs>
        <w:tab w:val="right" w:pos="9360"/>
      </w:tabs>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 </w:t>
    </w:r>
    <w:r w:rsidR="00072D73" w:rsidRPr="0047716D">
      <w:rPr>
        <w:rFonts w:ascii="Times New Roman" w:hAnsi="Times New Roman" w:cs="Times New Roman"/>
        <w:b/>
        <w:color w:val="000000"/>
        <w:sz w:val="20"/>
        <w:szCs w:val="20"/>
      </w:rPr>
      <w:t xml:space="preserve">Vol. </w:t>
    </w:r>
    <w:r w:rsidR="00072D73">
      <w:rPr>
        <w:rFonts w:ascii="Times New Roman" w:hAnsi="Times New Roman" w:cs="Times New Roman"/>
        <w:b/>
        <w:color w:val="000000"/>
        <w:sz w:val="20"/>
        <w:szCs w:val="20"/>
      </w:rPr>
      <w:t>3</w:t>
    </w:r>
    <w:r w:rsidR="00072D73" w:rsidRPr="0047716D">
      <w:rPr>
        <w:rFonts w:ascii="Times New Roman" w:hAnsi="Times New Roman" w:cs="Times New Roman"/>
        <w:b/>
        <w:color w:val="000000"/>
        <w:sz w:val="20"/>
        <w:szCs w:val="20"/>
      </w:rPr>
      <w:t xml:space="preserve"> No. </w:t>
    </w:r>
    <w:r w:rsidR="00BD634D">
      <w:rPr>
        <w:rFonts w:ascii="Times New Roman" w:hAnsi="Times New Roman" w:cs="Times New Roman"/>
        <w:b/>
        <w:color w:val="000000"/>
        <w:sz w:val="20"/>
        <w:szCs w:val="20"/>
      </w:rPr>
      <w:t>4</w:t>
    </w:r>
    <w:r w:rsidR="00072D73" w:rsidRPr="0047716D">
      <w:rPr>
        <w:rFonts w:ascii="Times New Roman" w:hAnsi="Times New Roman" w:cs="Times New Roman"/>
        <w:b/>
        <w:color w:val="000000"/>
        <w:sz w:val="20"/>
        <w:szCs w:val="20"/>
      </w:rPr>
      <w:t xml:space="preserve"> Edisi </w:t>
    </w:r>
    <w:r w:rsidR="00BD634D">
      <w:rPr>
        <w:rFonts w:ascii="Times New Roman" w:hAnsi="Times New Roman" w:cs="Times New Roman"/>
        <w:b/>
        <w:color w:val="000000"/>
        <w:sz w:val="20"/>
        <w:szCs w:val="20"/>
      </w:rPr>
      <w:t>Agustus</w:t>
    </w:r>
    <w:r w:rsidR="00072D73">
      <w:rPr>
        <w:rFonts w:ascii="Times New Roman" w:hAnsi="Times New Roman" w:cs="Times New Roman"/>
        <w:b/>
        <w:color w:val="000000"/>
        <w:sz w:val="20"/>
        <w:szCs w:val="20"/>
      </w:rPr>
      <w:t xml:space="preserve"> - </w:t>
    </w:r>
    <w:r w:rsidR="00BD634D">
      <w:rPr>
        <w:rFonts w:ascii="Times New Roman" w:hAnsi="Times New Roman" w:cs="Times New Roman"/>
        <w:b/>
        <w:color w:val="000000"/>
        <w:sz w:val="20"/>
        <w:szCs w:val="20"/>
      </w:rPr>
      <w:t>Oktober</w:t>
    </w:r>
    <w:r w:rsidR="00072D73">
      <w:rPr>
        <w:rFonts w:ascii="Times New Roman" w:hAnsi="Times New Roman" w:cs="Times New Roman"/>
        <w:b/>
        <w:color w:val="000000"/>
        <w:sz w:val="20"/>
        <w:szCs w:val="20"/>
      </w:rPr>
      <w:t xml:space="preserve"> </w:t>
    </w:r>
    <w:r w:rsidR="00072D73" w:rsidRPr="0047716D">
      <w:rPr>
        <w:rFonts w:ascii="Times New Roman" w:hAnsi="Times New Roman" w:cs="Times New Roman"/>
        <w:b/>
        <w:color w:val="000000"/>
        <w:sz w:val="20"/>
        <w:szCs w:val="20"/>
      </w:rPr>
      <w:t>202</w:t>
    </w:r>
    <w:r w:rsidR="00072D73">
      <w:rPr>
        <w:rFonts w:ascii="Times New Roman" w:hAnsi="Times New Roman" w:cs="Times New Roman"/>
        <w:b/>
        <w:color w:val="000000"/>
        <w:sz w:val="20"/>
        <w:szCs w:val="20"/>
      </w:rPr>
      <w:t>6</w:t>
    </w:r>
    <w:r w:rsidR="00072D73" w:rsidRPr="0047716D">
      <w:rPr>
        <w:rFonts w:ascii="Times New Roman" w:hAnsi="Times New Roman" w:cs="Times New Roman"/>
        <w:b/>
        <w:sz w:val="20"/>
        <w:szCs w:val="20"/>
      </w:rPr>
      <w:t xml:space="preserve">  </w:t>
    </w:r>
    <w:r w:rsidR="00072D73">
      <w:rPr>
        <w:rFonts w:ascii="Times New Roman" w:hAnsi="Times New Roman" w:cs="Times New Roman"/>
        <w:b/>
        <w:sz w:val="20"/>
        <w:szCs w:val="20"/>
      </w:rPr>
      <w:t xml:space="preserve">                                                                   </w:t>
    </w:r>
    <w:r w:rsidR="00BD634D">
      <w:rPr>
        <w:rFonts w:ascii="Times New Roman" w:hAnsi="Times New Roman" w:cs="Times New Roman"/>
        <w:b/>
        <w:sz w:val="20"/>
        <w:szCs w:val="20"/>
      </w:rPr>
      <w:t xml:space="preserve"> </w:t>
    </w:r>
    <w:r w:rsidR="003355F4">
      <w:rPr>
        <w:rFonts w:ascii="Times New Roman" w:hAnsi="Times New Roman" w:cs="Times New Roman"/>
        <w:b/>
        <w:sz w:val="20"/>
        <w:szCs w:val="20"/>
      </w:rPr>
      <w:t xml:space="preserve">   </w:t>
    </w:r>
    <w:r w:rsidR="003355F4" w:rsidRPr="0047716D">
      <w:rPr>
        <w:rFonts w:ascii="Times New Roman" w:hAnsi="Times New Roman" w:cs="Times New Roman"/>
        <w:b/>
        <w:sz w:val="20"/>
        <w:szCs w:val="20"/>
      </w:rPr>
      <w:t>E.</w:t>
    </w:r>
    <w:r w:rsidR="003355F4">
      <w:rPr>
        <w:b/>
        <w:sz w:val="20"/>
        <w:szCs w:val="20"/>
      </w:rPr>
      <w:t xml:space="preserve"> </w:t>
    </w:r>
    <w:r w:rsidR="003355F4" w:rsidRPr="0047716D">
      <w:rPr>
        <w:rFonts w:ascii="Times New Roman" w:hAnsi="Times New Roman" w:cs="Times New Roman"/>
        <w:b/>
        <w:color w:val="000000"/>
        <w:sz w:val="20"/>
        <w:szCs w:val="20"/>
      </w:rPr>
      <w:t>ISSN. 3032-2472</w:t>
    </w:r>
    <w:r w:rsidR="003355F4" w:rsidRPr="0047716D">
      <w:rPr>
        <w:rFonts w:ascii="Times New Roman" w:hAnsi="Times New Roman" w:cs="Times New Roman"/>
        <w:b/>
        <w:sz w:val="20"/>
        <w:szCs w:val="20"/>
      </w:rPr>
      <w:t xml:space="preserve">                                                                                                                    </w:t>
    </w:r>
    <w:r w:rsidR="003355F4">
      <w:rPr>
        <w:rFonts w:ascii="Times New Roman" w:hAnsi="Times New Roman" w:cs="Times New Roman"/>
        <w:b/>
        <w:sz w:val="20"/>
        <w:szCs w:val="20"/>
      </w:rPr>
      <w:t xml:space="preserve">                    </w:t>
    </w:r>
  </w:p>
  <w:tbl>
    <w:tblPr>
      <w:tblW w:w="8964" w:type="dxa"/>
      <w:tblLayout w:type="fixed"/>
      <w:tblLook w:val="0400" w:firstRow="0" w:lastRow="0" w:firstColumn="0" w:lastColumn="0" w:noHBand="0" w:noVBand="1"/>
    </w:tblPr>
    <w:tblGrid>
      <w:gridCol w:w="7122"/>
      <w:gridCol w:w="261"/>
      <w:gridCol w:w="261"/>
      <w:gridCol w:w="1320"/>
    </w:tblGrid>
    <w:tr w:rsidR="003355F4" w:rsidRPr="0047716D" w14:paraId="08B891AC" w14:textId="77777777" w:rsidTr="00817342">
      <w:trPr>
        <w:trHeight w:val="511"/>
      </w:trPr>
      <w:tc>
        <w:tcPr>
          <w:tcW w:w="7122" w:type="dxa"/>
          <w:shd w:val="clear" w:color="auto" w:fill="C6D9F1"/>
          <w:vAlign w:val="center"/>
        </w:tcPr>
        <w:p w14:paraId="4568F938" w14:textId="77777777" w:rsidR="003355F4" w:rsidRPr="0047716D" w:rsidRDefault="003355F4" w:rsidP="003355F4">
          <w:pPr>
            <w:spacing w:after="0" w:line="240" w:lineRule="auto"/>
            <w:ind w:right="68" w:hanging="11"/>
            <w:jc w:val="right"/>
            <w:rPr>
              <w:rFonts w:ascii="Times New Roman" w:hAnsi="Times New Roman" w:cs="Times New Roman"/>
              <w:sz w:val="20"/>
              <w:szCs w:val="20"/>
            </w:rPr>
          </w:pPr>
          <w:r w:rsidRPr="0047716D">
            <w:rPr>
              <w:rFonts w:ascii="Times New Roman" w:hAnsi="Times New Roman" w:cs="Times New Roman"/>
              <w:noProof/>
              <w:sz w:val="20"/>
              <w:szCs w:val="20"/>
            </w:rPr>
            <w:drawing>
              <wp:anchor distT="0" distB="0" distL="114300" distR="114300" simplePos="0" relativeHeight="251668480" behindDoc="0" locked="0" layoutInCell="1" allowOverlap="1" wp14:anchorId="633F2ACB" wp14:editId="0959A7F5">
                <wp:simplePos x="0" y="0"/>
                <wp:positionH relativeFrom="column">
                  <wp:posOffset>-32385</wp:posOffset>
                </wp:positionH>
                <wp:positionV relativeFrom="paragraph">
                  <wp:posOffset>21590</wp:posOffset>
                </wp:positionV>
                <wp:extent cx="742950" cy="638175"/>
                <wp:effectExtent l="0" t="0" r="0" b="9525"/>
                <wp:wrapSquare wrapText="bothSides"/>
                <wp:docPr id="20113728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638175"/>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2">
            <w:r w:rsidRPr="0047716D">
              <w:rPr>
                <w:rFonts w:ascii="Times New Roman" w:hAnsi="Times New Roman" w:cs="Times New Roman"/>
                <w:color w:val="0000FF"/>
                <w:sz w:val="20"/>
                <w:szCs w:val="20"/>
              </w:rPr>
              <w:t>Multidisciplinary Indonesian Center Journal (MICJO)</w:t>
            </w:r>
          </w:hyperlink>
        </w:p>
        <w:p w14:paraId="672DB20F" w14:textId="77777777" w:rsidR="003355F4" w:rsidRPr="0047716D" w:rsidRDefault="003355F4" w:rsidP="003355F4">
          <w:pPr>
            <w:pBdr>
              <w:top w:val="nil"/>
              <w:left w:val="nil"/>
              <w:bottom w:val="nil"/>
              <w:right w:val="nil"/>
              <w:between w:val="nil"/>
            </w:pBdr>
            <w:tabs>
              <w:tab w:val="center" w:pos="4680"/>
              <w:tab w:val="right" w:pos="9360"/>
            </w:tabs>
            <w:spacing w:after="0" w:line="240" w:lineRule="auto"/>
            <w:ind w:right="68" w:hanging="11"/>
            <w:jc w:val="center"/>
            <w:rPr>
              <w:rFonts w:ascii="Times New Roman" w:hAnsi="Times New Roman" w:cs="Times New Roman"/>
              <w:sz w:val="20"/>
              <w:szCs w:val="20"/>
            </w:rPr>
          </w:pPr>
          <w:r w:rsidRPr="0047716D">
            <w:rPr>
              <w:rFonts w:ascii="Times New Roman" w:hAnsi="Times New Roman" w:cs="Times New Roman"/>
              <w:sz w:val="20"/>
              <w:szCs w:val="20"/>
            </w:rPr>
            <w:t xml:space="preserve">                  Journal page is available to</w:t>
          </w:r>
        </w:p>
        <w:p w14:paraId="5F14DCB0" w14:textId="77777777" w:rsidR="003355F4" w:rsidRPr="0047716D" w:rsidRDefault="003355F4" w:rsidP="003355F4">
          <w:pPr>
            <w:pBdr>
              <w:top w:val="nil"/>
              <w:left w:val="nil"/>
              <w:bottom w:val="nil"/>
              <w:right w:val="nil"/>
              <w:between w:val="nil"/>
            </w:pBdr>
            <w:tabs>
              <w:tab w:val="center" w:pos="4680"/>
              <w:tab w:val="right" w:pos="9360"/>
            </w:tabs>
            <w:spacing w:after="0" w:line="240" w:lineRule="auto"/>
            <w:ind w:right="68" w:hanging="11"/>
            <w:jc w:val="center"/>
            <w:rPr>
              <w:rFonts w:ascii="Times New Roman" w:hAnsi="Times New Roman" w:cs="Times New Roman"/>
              <w:b/>
              <w:sz w:val="20"/>
              <w:szCs w:val="20"/>
            </w:rPr>
          </w:pPr>
          <w:r w:rsidRPr="0047716D">
            <w:rPr>
              <w:rFonts w:ascii="Times New Roman" w:hAnsi="Times New Roman" w:cs="Times New Roman"/>
              <w:sz w:val="20"/>
              <w:szCs w:val="20"/>
            </w:rPr>
            <w:t xml:space="preserve">              </w:t>
          </w:r>
          <w:hyperlink r:id="rId3">
            <w:r w:rsidRPr="0047716D">
              <w:rPr>
                <w:rFonts w:ascii="Times New Roman" w:hAnsi="Times New Roman" w:cs="Times New Roman"/>
                <w:color w:val="0000FF"/>
                <w:sz w:val="20"/>
                <w:szCs w:val="20"/>
                <w:u w:val="single"/>
              </w:rPr>
              <w:t>https://e-jurnal.jurnalcenter.com/index.php/micjo</w:t>
            </w:r>
          </w:hyperlink>
        </w:p>
        <w:p w14:paraId="3E6333B7" w14:textId="77777777" w:rsidR="003355F4" w:rsidRPr="0047716D" w:rsidRDefault="003355F4" w:rsidP="003355F4">
          <w:pPr>
            <w:pBdr>
              <w:top w:val="nil"/>
              <w:left w:val="nil"/>
              <w:bottom w:val="nil"/>
              <w:right w:val="nil"/>
              <w:between w:val="nil"/>
            </w:pBdr>
            <w:tabs>
              <w:tab w:val="center" w:pos="4680"/>
              <w:tab w:val="right" w:pos="9360"/>
            </w:tabs>
            <w:spacing w:after="0" w:line="240" w:lineRule="auto"/>
            <w:ind w:right="68" w:hanging="11"/>
            <w:jc w:val="center"/>
            <w:rPr>
              <w:rFonts w:ascii="Times New Roman" w:hAnsi="Times New Roman" w:cs="Times New Roman"/>
              <w:sz w:val="20"/>
              <w:szCs w:val="20"/>
            </w:rPr>
          </w:pPr>
          <w:r w:rsidRPr="0047716D">
            <w:rPr>
              <w:rFonts w:ascii="Times New Roman" w:hAnsi="Times New Roman" w:cs="Times New Roman"/>
              <w:sz w:val="20"/>
              <w:szCs w:val="20"/>
            </w:rPr>
            <w:t xml:space="preserve">                 Email: admin@jurnalcenter.com</w:t>
          </w:r>
        </w:p>
      </w:tc>
      <w:tc>
        <w:tcPr>
          <w:tcW w:w="261" w:type="dxa"/>
          <w:shd w:val="clear" w:color="auto" w:fill="C6D9F1"/>
        </w:tcPr>
        <w:p w14:paraId="7EC3BCE8" w14:textId="77777777" w:rsidR="003355F4" w:rsidRPr="0047716D" w:rsidRDefault="003355F4" w:rsidP="003355F4">
          <w:pPr>
            <w:pBdr>
              <w:top w:val="nil"/>
              <w:left w:val="nil"/>
              <w:bottom w:val="nil"/>
              <w:right w:val="nil"/>
              <w:between w:val="nil"/>
            </w:pBdr>
            <w:tabs>
              <w:tab w:val="center" w:pos="4680"/>
              <w:tab w:val="right" w:pos="9360"/>
            </w:tabs>
            <w:spacing w:after="0" w:line="240" w:lineRule="auto"/>
            <w:ind w:hanging="11"/>
            <w:rPr>
              <w:rFonts w:ascii="Times New Roman" w:hAnsi="Times New Roman" w:cs="Times New Roman"/>
              <w:color w:val="000000"/>
              <w:sz w:val="20"/>
              <w:szCs w:val="20"/>
            </w:rPr>
          </w:pPr>
        </w:p>
      </w:tc>
      <w:tc>
        <w:tcPr>
          <w:tcW w:w="261" w:type="dxa"/>
          <w:shd w:val="clear" w:color="auto" w:fill="C6D9F1"/>
        </w:tcPr>
        <w:p w14:paraId="363310C9" w14:textId="77777777" w:rsidR="003355F4" w:rsidRPr="0047716D" w:rsidRDefault="003355F4" w:rsidP="003355F4">
          <w:pPr>
            <w:pBdr>
              <w:top w:val="nil"/>
              <w:left w:val="nil"/>
              <w:bottom w:val="nil"/>
              <w:right w:val="nil"/>
              <w:between w:val="nil"/>
            </w:pBdr>
            <w:tabs>
              <w:tab w:val="center" w:pos="4680"/>
              <w:tab w:val="right" w:pos="9360"/>
            </w:tabs>
            <w:spacing w:after="0" w:line="240" w:lineRule="auto"/>
            <w:ind w:hanging="11"/>
            <w:rPr>
              <w:rFonts w:ascii="Times New Roman" w:hAnsi="Times New Roman" w:cs="Times New Roman"/>
              <w:color w:val="000000"/>
              <w:sz w:val="20"/>
              <w:szCs w:val="20"/>
            </w:rPr>
          </w:pPr>
        </w:p>
      </w:tc>
      <w:tc>
        <w:tcPr>
          <w:tcW w:w="1320" w:type="dxa"/>
          <w:shd w:val="clear" w:color="auto" w:fill="C6D9F1"/>
        </w:tcPr>
        <w:p w14:paraId="6017B646" w14:textId="77777777" w:rsidR="003355F4" w:rsidRPr="0047716D" w:rsidRDefault="003355F4" w:rsidP="003355F4">
          <w:pPr>
            <w:pBdr>
              <w:top w:val="nil"/>
              <w:left w:val="nil"/>
              <w:bottom w:val="nil"/>
              <w:right w:val="nil"/>
              <w:between w:val="nil"/>
            </w:pBdr>
            <w:tabs>
              <w:tab w:val="center" w:pos="4680"/>
              <w:tab w:val="right" w:pos="9360"/>
            </w:tabs>
            <w:spacing w:after="0" w:line="240" w:lineRule="auto"/>
            <w:ind w:left="-92" w:hanging="11"/>
            <w:rPr>
              <w:rFonts w:ascii="Times New Roman" w:hAnsi="Times New Roman" w:cs="Times New Roman"/>
              <w:sz w:val="20"/>
              <w:szCs w:val="20"/>
            </w:rPr>
          </w:pPr>
          <w:r w:rsidRPr="0047716D">
            <w:rPr>
              <w:rFonts w:ascii="Times New Roman" w:hAnsi="Times New Roman" w:cs="Times New Roman"/>
              <w:noProof/>
              <w:sz w:val="20"/>
              <w:szCs w:val="20"/>
            </w:rPr>
            <w:drawing>
              <wp:anchor distT="0" distB="0" distL="114300" distR="114300" simplePos="0" relativeHeight="251667456" behindDoc="0" locked="0" layoutInCell="1" allowOverlap="1" wp14:anchorId="4F8D1F4B" wp14:editId="73F67069">
                <wp:simplePos x="0" y="0"/>
                <wp:positionH relativeFrom="column">
                  <wp:posOffset>28575</wp:posOffset>
                </wp:positionH>
                <wp:positionV relativeFrom="paragraph">
                  <wp:posOffset>15875</wp:posOffset>
                </wp:positionV>
                <wp:extent cx="647537" cy="600075"/>
                <wp:effectExtent l="0" t="0" r="635" b="0"/>
                <wp:wrapNone/>
                <wp:docPr id="16835332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532575" name="Picture 1800532575"/>
                        <pic:cNvPicPr/>
                      </pic:nvPicPr>
                      <pic:blipFill>
                        <a:blip r:embed="rId4">
                          <a:extLst>
                            <a:ext uri="{28A0092B-C50C-407E-A947-70E740481C1C}">
                              <a14:useLocalDpi xmlns:a14="http://schemas.microsoft.com/office/drawing/2010/main" val="0"/>
                            </a:ext>
                          </a:extLst>
                        </a:blip>
                        <a:stretch>
                          <a:fillRect/>
                        </a:stretch>
                      </pic:blipFill>
                      <pic:spPr>
                        <a:xfrm>
                          <a:off x="0" y="0"/>
                          <a:ext cx="648645" cy="601102"/>
                        </a:xfrm>
                        <a:prstGeom prst="rect">
                          <a:avLst/>
                        </a:prstGeom>
                      </pic:spPr>
                    </pic:pic>
                  </a:graphicData>
                </a:graphic>
                <wp14:sizeRelH relativeFrom="margin">
                  <wp14:pctWidth>0</wp14:pctWidth>
                </wp14:sizeRelH>
                <wp14:sizeRelV relativeFrom="margin">
                  <wp14:pctHeight>0</wp14:pctHeight>
                </wp14:sizeRelV>
              </wp:anchor>
            </w:drawing>
          </w:r>
          <w:r w:rsidRPr="0047716D">
            <w:rPr>
              <w:rFonts w:ascii="Times New Roman" w:hAnsi="Times New Roman" w:cs="Times New Roman"/>
              <w:b/>
              <w:sz w:val="20"/>
              <w:szCs w:val="20"/>
            </w:rPr>
            <w:t xml:space="preserve"> </w:t>
          </w:r>
        </w:p>
      </w:tc>
    </w:tr>
  </w:tbl>
  <w:p w14:paraId="2BB918BA" w14:textId="77777777" w:rsidR="003355F4" w:rsidRPr="0047716D" w:rsidRDefault="003355F4" w:rsidP="003355F4">
    <w:pPr>
      <w:pStyle w:val="Header"/>
      <w:rPr>
        <w:rFonts w:ascii="Times New Roman" w:hAnsi="Times New Roman" w:cs="Times New Roman"/>
        <w:sz w:val="20"/>
        <w:szCs w:val="20"/>
      </w:rPr>
    </w:pPr>
  </w:p>
  <w:p w14:paraId="58CD7D7E" w14:textId="77777777" w:rsidR="00C23D82" w:rsidRPr="003355F4" w:rsidRDefault="00C23D82" w:rsidP="00335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7B63"/>
    <w:multiLevelType w:val="multilevel"/>
    <w:tmpl w:val="00B07B6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AC07A8"/>
    <w:multiLevelType w:val="hybridMultilevel"/>
    <w:tmpl w:val="44942E7C"/>
    <w:lvl w:ilvl="0" w:tplc="3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1E1C07"/>
    <w:multiLevelType w:val="hybridMultilevel"/>
    <w:tmpl w:val="E4B6A5E2"/>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 w15:restartNumberingAfterBreak="0">
    <w:nsid w:val="04612416"/>
    <w:multiLevelType w:val="multilevel"/>
    <w:tmpl w:val="046124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751C1F"/>
    <w:multiLevelType w:val="multilevel"/>
    <w:tmpl w:val="1FD6B7AE"/>
    <w:lvl w:ilvl="0">
      <w:start w:val="2"/>
      <w:numFmt w:val="decimal"/>
      <w:lvlText w:val="%1."/>
      <w:lvlJc w:val="left"/>
      <w:pPr>
        <w:ind w:left="360" w:hanging="360"/>
      </w:pPr>
      <w:rPr>
        <w:rFonts w:hint="default"/>
        <w:sz w:val="24"/>
        <w:szCs w:val="24"/>
      </w:rPr>
    </w:lvl>
    <w:lvl w:ilvl="1">
      <w:start w:val="4"/>
      <w:numFmt w:val="lowerLetter"/>
      <w:lvlText w:val="%2."/>
      <w:lvlJc w:val="left"/>
      <w:pPr>
        <w:ind w:left="1080" w:hanging="360"/>
      </w:pPr>
      <w:rPr>
        <w:rFonts w:hint="default"/>
        <w:b/>
        <w:bCs/>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b w:val="0"/>
        <w:bCs w:val="0"/>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05C74F69"/>
    <w:multiLevelType w:val="hybridMultilevel"/>
    <w:tmpl w:val="3C224FA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7FD2594"/>
    <w:multiLevelType w:val="hybridMultilevel"/>
    <w:tmpl w:val="AA3A27B0"/>
    <w:lvl w:ilvl="0" w:tplc="58BA392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085A1D51"/>
    <w:multiLevelType w:val="multilevel"/>
    <w:tmpl w:val="CB948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0146C9"/>
    <w:multiLevelType w:val="multilevel"/>
    <w:tmpl w:val="ADA63E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11468F1"/>
    <w:multiLevelType w:val="hybridMultilevel"/>
    <w:tmpl w:val="56F469B6"/>
    <w:lvl w:ilvl="0" w:tplc="C31ECC30">
      <w:start w:val="1"/>
      <w:numFmt w:val="lowerLetter"/>
      <w:lvlText w:val="%1."/>
      <w:lvlJc w:val="left"/>
      <w:pPr>
        <w:ind w:left="265" w:hanging="202"/>
      </w:pPr>
      <w:rPr>
        <w:rFonts w:ascii="Arial" w:eastAsia="Arial" w:hAnsi="Arial" w:cs="Arial" w:hint="default"/>
        <w:b w:val="0"/>
        <w:bCs w:val="0"/>
        <w:i w:val="0"/>
        <w:iCs w:val="0"/>
        <w:spacing w:val="0"/>
        <w:w w:val="100"/>
        <w:sz w:val="18"/>
        <w:szCs w:val="18"/>
        <w:lang w:val="id" w:eastAsia="en-US" w:bidi="ar-SA"/>
      </w:rPr>
    </w:lvl>
    <w:lvl w:ilvl="1" w:tplc="F2C8A55C">
      <w:numFmt w:val="bullet"/>
      <w:lvlText w:val="•"/>
      <w:lvlJc w:val="left"/>
      <w:pPr>
        <w:ind w:left="927" w:hanging="202"/>
      </w:pPr>
      <w:rPr>
        <w:rFonts w:hint="default"/>
        <w:lang w:val="id" w:eastAsia="en-US" w:bidi="ar-SA"/>
      </w:rPr>
    </w:lvl>
    <w:lvl w:ilvl="2" w:tplc="470641C4">
      <w:numFmt w:val="bullet"/>
      <w:lvlText w:val="•"/>
      <w:lvlJc w:val="left"/>
      <w:pPr>
        <w:ind w:left="1595" w:hanging="202"/>
      </w:pPr>
      <w:rPr>
        <w:rFonts w:hint="default"/>
        <w:lang w:val="id" w:eastAsia="en-US" w:bidi="ar-SA"/>
      </w:rPr>
    </w:lvl>
    <w:lvl w:ilvl="3" w:tplc="873EB99A">
      <w:numFmt w:val="bullet"/>
      <w:lvlText w:val="•"/>
      <w:lvlJc w:val="left"/>
      <w:pPr>
        <w:ind w:left="2263" w:hanging="202"/>
      </w:pPr>
      <w:rPr>
        <w:rFonts w:hint="default"/>
        <w:lang w:val="id" w:eastAsia="en-US" w:bidi="ar-SA"/>
      </w:rPr>
    </w:lvl>
    <w:lvl w:ilvl="4" w:tplc="D02A7F1A">
      <w:numFmt w:val="bullet"/>
      <w:lvlText w:val="•"/>
      <w:lvlJc w:val="left"/>
      <w:pPr>
        <w:ind w:left="2930" w:hanging="202"/>
      </w:pPr>
      <w:rPr>
        <w:rFonts w:hint="default"/>
        <w:lang w:val="id" w:eastAsia="en-US" w:bidi="ar-SA"/>
      </w:rPr>
    </w:lvl>
    <w:lvl w:ilvl="5" w:tplc="A8C639F8">
      <w:numFmt w:val="bullet"/>
      <w:lvlText w:val="•"/>
      <w:lvlJc w:val="left"/>
      <w:pPr>
        <w:ind w:left="3598" w:hanging="202"/>
      </w:pPr>
      <w:rPr>
        <w:rFonts w:hint="default"/>
        <w:lang w:val="id" w:eastAsia="en-US" w:bidi="ar-SA"/>
      </w:rPr>
    </w:lvl>
    <w:lvl w:ilvl="6" w:tplc="38325E12">
      <w:numFmt w:val="bullet"/>
      <w:lvlText w:val="•"/>
      <w:lvlJc w:val="left"/>
      <w:pPr>
        <w:ind w:left="4266" w:hanging="202"/>
      </w:pPr>
      <w:rPr>
        <w:rFonts w:hint="default"/>
        <w:lang w:val="id" w:eastAsia="en-US" w:bidi="ar-SA"/>
      </w:rPr>
    </w:lvl>
    <w:lvl w:ilvl="7" w:tplc="603A277E">
      <w:numFmt w:val="bullet"/>
      <w:lvlText w:val="•"/>
      <w:lvlJc w:val="left"/>
      <w:pPr>
        <w:ind w:left="4933" w:hanging="202"/>
      </w:pPr>
      <w:rPr>
        <w:rFonts w:hint="default"/>
        <w:lang w:val="id" w:eastAsia="en-US" w:bidi="ar-SA"/>
      </w:rPr>
    </w:lvl>
    <w:lvl w:ilvl="8" w:tplc="5FCA6188">
      <w:numFmt w:val="bullet"/>
      <w:lvlText w:val="•"/>
      <w:lvlJc w:val="left"/>
      <w:pPr>
        <w:ind w:left="5601" w:hanging="202"/>
      </w:pPr>
      <w:rPr>
        <w:rFonts w:hint="default"/>
        <w:lang w:val="id" w:eastAsia="en-US" w:bidi="ar-SA"/>
      </w:rPr>
    </w:lvl>
  </w:abstractNum>
  <w:abstractNum w:abstractNumId="10" w15:restartNumberingAfterBreak="0">
    <w:nsid w:val="144551C0"/>
    <w:multiLevelType w:val="hybridMultilevel"/>
    <w:tmpl w:val="4C8CFB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D82801"/>
    <w:multiLevelType w:val="hybridMultilevel"/>
    <w:tmpl w:val="25302B1C"/>
    <w:lvl w:ilvl="0" w:tplc="7A5A31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043244"/>
    <w:multiLevelType w:val="multilevel"/>
    <w:tmpl w:val="39A84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283222"/>
    <w:multiLevelType w:val="hybridMultilevel"/>
    <w:tmpl w:val="7AF44C0A"/>
    <w:lvl w:ilvl="0" w:tplc="75A6C3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A6F4A34"/>
    <w:multiLevelType w:val="hybridMultilevel"/>
    <w:tmpl w:val="BDF8554E"/>
    <w:lvl w:ilvl="0" w:tplc="0421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1B3C7C3B"/>
    <w:multiLevelType w:val="hybridMultilevel"/>
    <w:tmpl w:val="E5EC43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1C546EAB"/>
    <w:multiLevelType w:val="multilevel"/>
    <w:tmpl w:val="1C546EAB"/>
    <w:lvl w:ilvl="0">
      <w:start w:val="1"/>
      <w:numFmt w:val="decimal"/>
      <w:lvlText w:val="%1."/>
      <w:lvlJc w:val="left"/>
      <w:pPr>
        <w:ind w:left="2880" w:hanging="360"/>
      </w:pPr>
      <w:rPr>
        <w:rFonts w:ascii="Times New Roman" w:eastAsia="Calibri" w:hAnsi="Times New Roman" w:cs="Times New Roman"/>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7" w15:restartNumberingAfterBreak="0">
    <w:nsid w:val="1DF20D71"/>
    <w:multiLevelType w:val="hybridMultilevel"/>
    <w:tmpl w:val="BF081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35606D"/>
    <w:multiLevelType w:val="multilevel"/>
    <w:tmpl w:val="0F128088"/>
    <w:lvl w:ilvl="0">
      <w:start w:val="1"/>
      <w:numFmt w:val="decimal"/>
      <w:lvlText w:val="%1."/>
      <w:lvlJc w:val="left"/>
      <w:pPr>
        <w:ind w:left="720" w:hanging="360"/>
      </w:pPr>
    </w:lvl>
    <w:lvl w:ilvl="1">
      <w:start w:val="2"/>
      <w:numFmt w:val="decimal"/>
      <w:lvlText w:val="%1.%2"/>
      <w:lvlJc w:val="left"/>
      <w:pPr>
        <w:ind w:left="900" w:hanging="540"/>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1F507A67"/>
    <w:multiLevelType w:val="hybridMultilevel"/>
    <w:tmpl w:val="28D6E2E0"/>
    <w:lvl w:ilvl="0" w:tplc="189A329A">
      <w:start w:val="1"/>
      <w:numFmt w:val="decimal"/>
      <w:lvlText w:val="%1."/>
      <w:lvlJc w:val="center"/>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0" w15:restartNumberingAfterBreak="0">
    <w:nsid w:val="22606D32"/>
    <w:multiLevelType w:val="multilevel"/>
    <w:tmpl w:val="DE1C6A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23A772A1"/>
    <w:multiLevelType w:val="hybridMultilevel"/>
    <w:tmpl w:val="57D6133A"/>
    <w:lvl w:ilvl="0" w:tplc="EDE2B816">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6419AF"/>
    <w:multiLevelType w:val="multilevel"/>
    <w:tmpl w:val="FD705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56E2ACF"/>
    <w:multiLevelType w:val="hybridMultilevel"/>
    <w:tmpl w:val="5764224E"/>
    <w:lvl w:ilvl="0" w:tplc="CA5E292E">
      <w:start w:val="1"/>
      <w:numFmt w:val="upperLetter"/>
      <w:lvlText w:val="%1."/>
      <w:lvlJc w:val="left"/>
      <w:pPr>
        <w:ind w:left="987" w:hanging="360"/>
      </w:pPr>
      <w:rPr>
        <w:rFonts w:hint="default"/>
      </w:rPr>
    </w:lvl>
    <w:lvl w:ilvl="1" w:tplc="04210019" w:tentative="1">
      <w:start w:val="1"/>
      <w:numFmt w:val="lowerLetter"/>
      <w:lvlText w:val="%2."/>
      <w:lvlJc w:val="left"/>
      <w:pPr>
        <w:ind w:left="1707" w:hanging="360"/>
      </w:pPr>
    </w:lvl>
    <w:lvl w:ilvl="2" w:tplc="0421001B" w:tentative="1">
      <w:start w:val="1"/>
      <w:numFmt w:val="lowerRoman"/>
      <w:lvlText w:val="%3."/>
      <w:lvlJc w:val="right"/>
      <w:pPr>
        <w:ind w:left="2427" w:hanging="180"/>
      </w:pPr>
    </w:lvl>
    <w:lvl w:ilvl="3" w:tplc="0421000F" w:tentative="1">
      <w:start w:val="1"/>
      <w:numFmt w:val="decimal"/>
      <w:lvlText w:val="%4."/>
      <w:lvlJc w:val="left"/>
      <w:pPr>
        <w:ind w:left="3147" w:hanging="360"/>
      </w:pPr>
    </w:lvl>
    <w:lvl w:ilvl="4" w:tplc="04210019" w:tentative="1">
      <w:start w:val="1"/>
      <w:numFmt w:val="lowerLetter"/>
      <w:lvlText w:val="%5."/>
      <w:lvlJc w:val="left"/>
      <w:pPr>
        <w:ind w:left="3867" w:hanging="360"/>
      </w:pPr>
    </w:lvl>
    <w:lvl w:ilvl="5" w:tplc="0421001B" w:tentative="1">
      <w:start w:val="1"/>
      <w:numFmt w:val="lowerRoman"/>
      <w:lvlText w:val="%6."/>
      <w:lvlJc w:val="right"/>
      <w:pPr>
        <w:ind w:left="4587" w:hanging="180"/>
      </w:pPr>
    </w:lvl>
    <w:lvl w:ilvl="6" w:tplc="0421000F" w:tentative="1">
      <w:start w:val="1"/>
      <w:numFmt w:val="decimal"/>
      <w:lvlText w:val="%7."/>
      <w:lvlJc w:val="left"/>
      <w:pPr>
        <w:ind w:left="5307" w:hanging="360"/>
      </w:pPr>
    </w:lvl>
    <w:lvl w:ilvl="7" w:tplc="04210019" w:tentative="1">
      <w:start w:val="1"/>
      <w:numFmt w:val="lowerLetter"/>
      <w:lvlText w:val="%8."/>
      <w:lvlJc w:val="left"/>
      <w:pPr>
        <w:ind w:left="6027" w:hanging="360"/>
      </w:pPr>
    </w:lvl>
    <w:lvl w:ilvl="8" w:tplc="0421001B" w:tentative="1">
      <w:start w:val="1"/>
      <w:numFmt w:val="lowerRoman"/>
      <w:lvlText w:val="%9."/>
      <w:lvlJc w:val="right"/>
      <w:pPr>
        <w:ind w:left="6747" w:hanging="180"/>
      </w:pPr>
    </w:lvl>
  </w:abstractNum>
  <w:abstractNum w:abstractNumId="24" w15:restartNumberingAfterBreak="0">
    <w:nsid w:val="260A0D7E"/>
    <w:multiLevelType w:val="hybridMultilevel"/>
    <w:tmpl w:val="BCB2B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FF0EDA"/>
    <w:multiLevelType w:val="multilevel"/>
    <w:tmpl w:val="17D82F60"/>
    <w:lvl w:ilvl="0">
      <w:start w:val="1"/>
      <w:numFmt w:val="decimal"/>
      <w:lvlText w:val="%1."/>
      <w:lvlJc w:val="left"/>
      <w:pPr>
        <w:ind w:left="360" w:hanging="360"/>
      </w:pPr>
      <w:rPr>
        <w:b/>
        <w:bCs/>
        <w:sz w:val="22"/>
        <w:szCs w:val="22"/>
      </w:rPr>
    </w:lvl>
    <w:lvl w:ilvl="1">
      <w:start w:val="1"/>
      <w:numFmt w:val="lowerLetter"/>
      <w:lvlText w:val="%2."/>
      <w:lvlJc w:val="left"/>
      <w:pPr>
        <w:ind w:left="1080" w:hanging="360"/>
      </w:pPr>
      <w:rPr>
        <w:b/>
        <w:bCs/>
      </w:rPr>
    </w:lvl>
    <w:lvl w:ilvl="2">
      <w:start w:val="1"/>
      <w:numFmt w:val="lowerRoman"/>
      <w:lvlText w:val="%3."/>
      <w:lvlJc w:val="right"/>
      <w:pPr>
        <w:ind w:left="1800" w:hanging="180"/>
      </w:pPr>
    </w:lvl>
    <w:lvl w:ilvl="3">
      <w:start w:val="1"/>
      <w:numFmt w:val="lowerLetter"/>
      <w:lvlText w:val="%4)"/>
      <w:lvlJc w:val="left"/>
      <w:pPr>
        <w:ind w:left="2520" w:hanging="360"/>
      </w:pPr>
      <w:rPr>
        <w:b w:val="0"/>
        <w:bCs/>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28EA5DC8"/>
    <w:multiLevelType w:val="hybridMultilevel"/>
    <w:tmpl w:val="8ACAE4D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3190255A"/>
    <w:multiLevelType w:val="hybridMultilevel"/>
    <w:tmpl w:val="2D0C8B5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32702ADD"/>
    <w:multiLevelType w:val="hybridMultilevel"/>
    <w:tmpl w:val="C85AD73C"/>
    <w:lvl w:ilvl="0" w:tplc="DC20761E">
      <w:start w:val="1"/>
      <w:numFmt w:val="decimal"/>
      <w:lvlText w:val="%1."/>
      <w:lvlJc w:val="left"/>
      <w:pPr>
        <w:ind w:left="1443" w:hanging="876"/>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9" w15:restartNumberingAfterBreak="0">
    <w:nsid w:val="355C3FEA"/>
    <w:multiLevelType w:val="hybridMultilevel"/>
    <w:tmpl w:val="590E05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375B543F"/>
    <w:multiLevelType w:val="hybridMultilevel"/>
    <w:tmpl w:val="89367C7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396F262A"/>
    <w:multiLevelType w:val="hybridMultilevel"/>
    <w:tmpl w:val="30A451D0"/>
    <w:lvl w:ilvl="0" w:tplc="63B0D3C2">
      <w:start w:val="1"/>
      <w:numFmt w:val="upperLetter"/>
      <w:lvlText w:val="%1."/>
      <w:lvlJc w:val="left"/>
      <w:pPr>
        <w:ind w:left="750" w:hanging="39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3A785DF4"/>
    <w:multiLevelType w:val="multilevel"/>
    <w:tmpl w:val="299E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7D0E88"/>
    <w:multiLevelType w:val="multilevel"/>
    <w:tmpl w:val="424A95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F5E3E3E"/>
    <w:multiLevelType w:val="hybridMultilevel"/>
    <w:tmpl w:val="1DB4EA22"/>
    <w:lvl w:ilvl="0" w:tplc="AEF2F0EC">
      <w:start w:val="1"/>
      <w:numFmt w:val="decimal"/>
      <w:lvlText w:val="%1."/>
      <w:lvlJc w:val="left"/>
      <w:pPr>
        <w:ind w:left="1800" w:hanging="360"/>
      </w:pPr>
      <w:rPr>
        <w:rFonts w:eastAsia="Times New Roman" w:hint="default"/>
        <w:b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5" w15:restartNumberingAfterBreak="0">
    <w:nsid w:val="3FD81333"/>
    <w:multiLevelType w:val="multilevel"/>
    <w:tmpl w:val="7B5E3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377614C"/>
    <w:multiLevelType w:val="hybridMultilevel"/>
    <w:tmpl w:val="A88A39EE"/>
    <w:lvl w:ilvl="0" w:tplc="D7325496">
      <w:start w:val="1"/>
      <w:numFmt w:val="upperLetter"/>
      <w:lvlText w:val="%1."/>
      <w:lvlJc w:val="left"/>
      <w:pPr>
        <w:ind w:left="720" w:hanging="360"/>
      </w:pPr>
      <w:rPr>
        <w:rFonts w:ascii="Times New Roman" w:eastAsiaTheme="minorHAnsi"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4814691D"/>
    <w:multiLevelType w:val="hybridMultilevel"/>
    <w:tmpl w:val="41DE5B26"/>
    <w:lvl w:ilvl="0" w:tplc="43A0B548">
      <w:start w:val="1"/>
      <w:numFmt w:val="decimal"/>
      <w:lvlText w:val="%1."/>
      <w:lvlJc w:val="left"/>
      <w:pPr>
        <w:ind w:left="982" w:hanging="360"/>
      </w:pPr>
      <w:rPr>
        <w:rFonts w:ascii="Times New Roman" w:eastAsia="Candara" w:hAnsi="Times New Roman" w:cs="Times New Roman" w:hint="default"/>
        <w:b w:val="0"/>
        <w:bCs w:val="0"/>
        <w:i w:val="0"/>
        <w:iCs w:val="0"/>
        <w:spacing w:val="-1"/>
        <w:w w:val="100"/>
        <w:sz w:val="22"/>
        <w:szCs w:val="22"/>
        <w:lang w:val="en-US" w:eastAsia="en-US" w:bidi="ar-SA"/>
      </w:rPr>
    </w:lvl>
    <w:lvl w:ilvl="1" w:tplc="AE22C382">
      <w:numFmt w:val="bullet"/>
      <w:lvlText w:val="•"/>
      <w:lvlJc w:val="left"/>
      <w:pPr>
        <w:ind w:left="1318" w:hanging="360"/>
      </w:pPr>
      <w:rPr>
        <w:rFonts w:hint="default"/>
        <w:lang w:val="en-US" w:eastAsia="en-US" w:bidi="ar-SA"/>
      </w:rPr>
    </w:lvl>
    <w:lvl w:ilvl="2" w:tplc="DC7E6A62">
      <w:numFmt w:val="bullet"/>
      <w:lvlText w:val="•"/>
      <w:lvlJc w:val="left"/>
      <w:pPr>
        <w:ind w:left="1657" w:hanging="360"/>
      </w:pPr>
      <w:rPr>
        <w:rFonts w:hint="default"/>
        <w:lang w:val="en-US" w:eastAsia="en-US" w:bidi="ar-SA"/>
      </w:rPr>
    </w:lvl>
    <w:lvl w:ilvl="3" w:tplc="D3D06A30">
      <w:numFmt w:val="bullet"/>
      <w:lvlText w:val="•"/>
      <w:lvlJc w:val="left"/>
      <w:pPr>
        <w:ind w:left="1995" w:hanging="360"/>
      </w:pPr>
      <w:rPr>
        <w:rFonts w:hint="default"/>
        <w:lang w:val="en-US" w:eastAsia="en-US" w:bidi="ar-SA"/>
      </w:rPr>
    </w:lvl>
    <w:lvl w:ilvl="4" w:tplc="3D9AAC5E">
      <w:numFmt w:val="bullet"/>
      <w:lvlText w:val="•"/>
      <w:lvlJc w:val="left"/>
      <w:pPr>
        <w:ind w:left="2334" w:hanging="360"/>
      </w:pPr>
      <w:rPr>
        <w:rFonts w:hint="default"/>
        <w:lang w:val="en-US" w:eastAsia="en-US" w:bidi="ar-SA"/>
      </w:rPr>
    </w:lvl>
    <w:lvl w:ilvl="5" w:tplc="30DE37FC">
      <w:numFmt w:val="bullet"/>
      <w:lvlText w:val="•"/>
      <w:lvlJc w:val="left"/>
      <w:pPr>
        <w:ind w:left="2673" w:hanging="360"/>
      </w:pPr>
      <w:rPr>
        <w:rFonts w:hint="default"/>
        <w:lang w:val="en-US" w:eastAsia="en-US" w:bidi="ar-SA"/>
      </w:rPr>
    </w:lvl>
    <w:lvl w:ilvl="6" w:tplc="208AAF40">
      <w:numFmt w:val="bullet"/>
      <w:lvlText w:val="•"/>
      <w:lvlJc w:val="left"/>
      <w:pPr>
        <w:ind w:left="3011" w:hanging="360"/>
      </w:pPr>
      <w:rPr>
        <w:rFonts w:hint="default"/>
        <w:lang w:val="en-US" w:eastAsia="en-US" w:bidi="ar-SA"/>
      </w:rPr>
    </w:lvl>
    <w:lvl w:ilvl="7" w:tplc="C082BD9E">
      <w:numFmt w:val="bullet"/>
      <w:lvlText w:val="•"/>
      <w:lvlJc w:val="left"/>
      <w:pPr>
        <w:ind w:left="3350" w:hanging="360"/>
      </w:pPr>
      <w:rPr>
        <w:rFonts w:hint="default"/>
        <w:lang w:val="en-US" w:eastAsia="en-US" w:bidi="ar-SA"/>
      </w:rPr>
    </w:lvl>
    <w:lvl w:ilvl="8" w:tplc="F3C6A180">
      <w:numFmt w:val="bullet"/>
      <w:lvlText w:val="•"/>
      <w:lvlJc w:val="left"/>
      <w:pPr>
        <w:ind w:left="3688" w:hanging="360"/>
      </w:pPr>
      <w:rPr>
        <w:rFonts w:hint="default"/>
        <w:lang w:val="en-US" w:eastAsia="en-US" w:bidi="ar-SA"/>
      </w:rPr>
    </w:lvl>
  </w:abstractNum>
  <w:abstractNum w:abstractNumId="38" w15:restartNumberingAfterBreak="0">
    <w:nsid w:val="4A432FA9"/>
    <w:multiLevelType w:val="multilevel"/>
    <w:tmpl w:val="69C4FF08"/>
    <w:lvl w:ilvl="0">
      <w:start w:val="1"/>
      <w:numFmt w:val="decimal"/>
      <w:lvlText w:val="%1."/>
      <w:lvlJc w:val="left"/>
      <w:pPr>
        <w:ind w:left="439" w:hanging="178"/>
      </w:pPr>
      <w:rPr>
        <w:rFonts w:ascii="Candara" w:eastAsia="Candara" w:hAnsi="Candara" w:cs="Candara" w:hint="default"/>
        <w:b/>
        <w:bCs/>
        <w:i w:val="0"/>
        <w:iCs w:val="0"/>
        <w:spacing w:val="0"/>
        <w:w w:val="100"/>
        <w:sz w:val="22"/>
        <w:szCs w:val="22"/>
        <w:lang w:val="en-US" w:eastAsia="en-US" w:bidi="ar-SA"/>
      </w:rPr>
    </w:lvl>
    <w:lvl w:ilvl="1">
      <w:start w:val="1"/>
      <w:numFmt w:val="decimal"/>
      <w:lvlText w:val="%1.%2"/>
      <w:lvlJc w:val="left"/>
      <w:pPr>
        <w:ind w:left="513" w:hanging="252"/>
        <w:jc w:val="right"/>
      </w:pPr>
      <w:rPr>
        <w:rFonts w:ascii="Candara" w:eastAsia="Candara" w:hAnsi="Candara" w:cs="Candara" w:hint="default"/>
        <w:b/>
        <w:bCs/>
        <w:i w:val="0"/>
        <w:iCs w:val="0"/>
        <w:spacing w:val="-1"/>
        <w:w w:val="100"/>
        <w:sz w:val="22"/>
        <w:szCs w:val="22"/>
        <w:lang w:val="en-US" w:eastAsia="en-US" w:bidi="ar-SA"/>
      </w:rPr>
    </w:lvl>
    <w:lvl w:ilvl="2">
      <w:start w:val="1"/>
      <w:numFmt w:val="decimal"/>
      <w:lvlText w:val="%3."/>
      <w:lvlJc w:val="left"/>
      <w:pPr>
        <w:ind w:left="970" w:hanging="183"/>
        <w:jc w:val="right"/>
      </w:pPr>
      <w:rPr>
        <w:rFonts w:hint="default"/>
        <w:spacing w:val="-1"/>
        <w:w w:val="100"/>
        <w:lang w:val="en-US" w:eastAsia="en-US" w:bidi="ar-SA"/>
      </w:rPr>
    </w:lvl>
    <w:lvl w:ilvl="3">
      <w:numFmt w:val="bullet"/>
      <w:lvlText w:val="•"/>
      <w:lvlJc w:val="left"/>
      <w:pPr>
        <w:ind w:left="980" w:hanging="183"/>
      </w:pPr>
      <w:rPr>
        <w:rFonts w:hint="default"/>
        <w:lang w:val="en-US" w:eastAsia="en-US" w:bidi="ar-SA"/>
      </w:rPr>
    </w:lvl>
    <w:lvl w:ilvl="4">
      <w:numFmt w:val="bullet"/>
      <w:lvlText w:val="•"/>
      <w:lvlJc w:val="left"/>
      <w:pPr>
        <w:ind w:left="1340" w:hanging="183"/>
      </w:pPr>
      <w:rPr>
        <w:rFonts w:hint="default"/>
        <w:lang w:val="en-US" w:eastAsia="en-US" w:bidi="ar-SA"/>
      </w:rPr>
    </w:lvl>
    <w:lvl w:ilvl="5">
      <w:numFmt w:val="bullet"/>
      <w:lvlText w:val="•"/>
      <w:lvlJc w:val="left"/>
      <w:pPr>
        <w:ind w:left="1400" w:hanging="183"/>
      </w:pPr>
      <w:rPr>
        <w:rFonts w:hint="default"/>
        <w:lang w:val="en-US" w:eastAsia="en-US" w:bidi="ar-SA"/>
      </w:rPr>
    </w:lvl>
    <w:lvl w:ilvl="6">
      <w:numFmt w:val="bullet"/>
      <w:lvlText w:val="•"/>
      <w:lvlJc w:val="left"/>
      <w:pPr>
        <w:ind w:left="1036" w:hanging="183"/>
      </w:pPr>
      <w:rPr>
        <w:rFonts w:hint="default"/>
        <w:lang w:val="en-US" w:eastAsia="en-US" w:bidi="ar-SA"/>
      </w:rPr>
    </w:lvl>
    <w:lvl w:ilvl="7">
      <w:numFmt w:val="bullet"/>
      <w:lvlText w:val="•"/>
      <w:lvlJc w:val="left"/>
      <w:pPr>
        <w:ind w:left="673" w:hanging="183"/>
      </w:pPr>
      <w:rPr>
        <w:rFonts w:hint="default"/>
        <w:lang w:val="en-US" w:eastAsia="en-US" w:bidi="ar-SA"/>
      </w:rPr>
    </w:lvl>
    <w:lvl w:ilvl="8">
      <w:numFmt w:val="bullet"/>
      <w:lvlText w:val="•"/>
      <w:lvlJc w:val="left"/>
      <w:pPr>
        <w:ind w:left="310" w:hanging="183"/>
      </w:pPr>
      <w:rPr>
        <w:rFonts w:hint="default"/>
        <w:lang w:val="en-US" w:eastAsia="en-US" w:bidi="ar-SA"/>
      </w:rPr>
    </w:lvl>
  </w:abstractNum>
  <w:abstractNum w:abstractNumId="39" w15:restartNumberingAfterBreak="0">
    <w:nsid w:val="4ADA4A95"/>
    <w:multiLevelType w:val="hybridMultilevel"/>
    <w:tmpl w:val="F76ED2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E17568"/>
    <w:multiLevelType w:val="hybridMultilevel"/>
    <w:tmpl w:val="CA00191C"/>
    <w:lvl w:ilvl="0" w:tplc="88A8045E">
      <w:start w:val="1"/>
      <w:numFmt w:val="lowerLetter"/>
      <w:lvlText w:val="%1."/>
      <w:lvlJc w:val="left"/>
      <w:pPr>
        <w:ind w:left="265" w:hanging="202"/>
      </w:pPr>
      <w:rPr>
        <w:rFonts w:ascii="Arial" w:eastAsia="Arial" w:hAnsi="Arial" w:cs="Arial" w:hint="default"/>
        <w:b w:val="0"/>
        <w:bCs w:val="0"/>
        <w:i w:val="0"/>
        <w:iCs w:val="0"/>
        <w:spacing w:val="0"/>
        <w:w w:val="100"/>
        <w:sz w:val="18"/>
        <w:szCs w:val="18"/>
        <w:lang w:val="id" w:eastAsia="en-US" w:bidi="ar-SA"/>
      </w:rPr>
    </w:lvl>
    <w:lvl w:ilvl="1" w:tplc="0738688A">
      <w:numFmt w:val="bullet"/>
      <w:lvlText w:val="•"/>
      <w:lvlJc w:val="left"/>
      <w:pPr>
        <w:ind w:left="913" w:hanging="202"/>
      </w:pPr>
      <w:rPr>
        <w:rFonts w:hint="default"/>
        <w:lang w:val="id" w:eastAsia="en-US" w:bidi="ar-SA"/>
      </w:rPr>
    </w:lvl>
    <w:lvl w:ilvl="2" w:tplc="0EF8B9FE">
      <w:numFmt w:val="bullet"/>
      <w:lvlText w:val="•"/>
      <w:lvlJc w:val="left"/>
      <w:pPr>
        <w:ind w:left="1566" w:hanging="202"/>
      </w:pPr>
      <w:rPr>
        <w:rFonts w:hint="default"/>
        <w:lang w:val="id" w:eastAsia="en-US" w:bidi="ar-SA"/>
      </w:rPr>
    </w:lvl>
    <w:lvl w:ilvl="3" w:tplc="CFB875F6">
      <w:numFmt w:val="bullet"/>
      <w:lvlText w:val="•"/>
      <w:lvlJc w:val="left"/>
      <w:pPr>
        <w:ind w:left="2219" w:hanging="202"/>
      </w:pPr>
      <w:rPr>
        <w:rFonts w:hint="default"/>
        <w:lang w:val="id" w:eastAsia="en-US" w:bidi="ar-SA"/>
      </w:rPr>
    </w:lvl>
    <w:lvl w:ilvl="4" w:tplc="0478C258">
      <w:numFmt w:val="bullet"/>
      <w:lvlText w:val="•"/>
      <w:lvlJc w:val="left"/>
      <w:pPr>
        <w:ind w:left="2872" w:hanging="202"/>
      </w:pPr>
      <w:rPr>
        <w:rFonts w:hint="default"/>
        <w:lang w:val="id" w:eastAsia="en-US" w:bidi="ar-SA"/>
      </w:rPr>
    </w:lvl>
    <w:lvl w:ilvl="5" w:tplc="346A5232">
      <w:numFmt w:val="bullet"/>
      <w:lvlText w:val="•"/>
      <w:lvlJc w:val="left"/>
      <w:pPr>
        <w:ind w:left="3526" w:hanging="202"/>
      </w:pPr>
      <w:rPr>
        <w:rFonts w:hint="default"/>
        <w:lang w:val="id" w:eastAsia="en-US" w:bidi="ar-SA"/>
      </w:rPr>
    </w:lvl>
    <w:lvl w:ilvl="6" w:tplc="B29466A6">
      <w:numFmt w:val="bullet"/>
      <w:lvlText w:val="•"/>
      <w:lvlJc w:val="left"/>
      <w:pPr>
        <w:ind w:left="4179" w:hanging="202"/>
      </w:pPr>
      <w:rPr>
        <w:rFonts w:hint="default"/>
        <w:lang w:val="id" w:eastAsia="en-US" w:bidi="ar-SA"/>
      </w:rPr>
    </w:lvl>
    <w:lvl w:ilvl="7" w:tplc="6F487722">
      <w:numFmt w:val="bullet"/>
      <w:lvlText w:val="•"/>
      <w:lvlJc w:val="left"/>
      <w:pPr>
        <w:ind w:left="4832" w:hanging="202"/>
      </w:pPr>
      <w:rPr>
        <w:rFonts w:hint="default"/>
        <w:lang w:val="id" w:eastAsia="en-US" w:bidi="ar-SA"/>
      </w:rPr>
    </w:lvl>
    <w:lvl w:ilvl="8" w:tplc="E8B4D384">
      <w:numFmt w:val="bullet"/>
      <w:lvlText w:val="•"/>
      <w:lvlJc w:val="left"/>
      <w:pPr>
        <w:ind w:left="5485" w:hanging="202"/>
      </w:pPr>
      <w:rPr>
        <w:rFonts w:hint="default"/>
        <w:lang w:val="id" w:eastAsia="en-US" w:bidi="ar-SA"/>
      </w:rPr>
    </w:lvl>
  </w:abstractNum>
  <w:abstractNum w:abstractNumId="41" w15:restartNumberingAfterBreak="0">
    <w:nsid w:val="50517463"/>
    <w:multiLevelType w:val="hybridMultilevel"/>
    <w:tmpl w:val="77EAA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1376D54"/>
    <w:multiLevelType w:val="multilevel"/>
    <w:tmpl w:val="2314FB00"/>
    <w:lvl w:ilvl="0">
      <w:start w:val="1"/>
      <w:numFmt w:val="decimal"/>
      <w:lvlText w:val="%1."/>
      <w:lvlJc w:val="left"/>
      <w:pPr>
        <w:tabs>
          <w:tab w:val="num" w:pos="720"/>
        </w:tabs>
        <w:ind w:left="720" w:hanging="720"/>
      </w:pPr>
      <w:rPr>
        <w:b/>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53441F62"/>
    <w:multiLevelType w:val="hybridMultilevel"/>
    <w:tmpl w:val="3DA07C58"/>
    <w:lvl w:ilvl="0" w:tplc="9912DE6A">
      <w:start w:val="1"/>
      <w:numFmt w:val="decimal"/>
      <w:lvlText w:val="%1."/>
      <w:lvlJc w:val="left"/>
      <w:pPr>
        <w:ind w:left="720" w:hanging="360"/>
      </w:pPr>
      <w:rPr>
        <w:rFonts w:hint="default"/>
        <w:color w:val="auto"/>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54F4497D"/>
    <w:multiLevelType w:val="multilevel"/>
    <w:tmpl w:val="12280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50B525A"/>
    <w:multiLevelType w:val="multilevel"/>
    <w:tmpl w:val="550B52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78D0E27"/>
    <w:multiLevelType w:val="hybridMultilevel"/>
    <w:tmpl w:val="2A1033AE"/>
    <w:lvl w:ilvl="0" w:tplc="E54C53F6">
      <w:start w:val="1"/>
      <w:numFmt w:val="decimal"/>
      <w:lvlText w:val="%1."/>
      <w:lvlJc w:val="left"/>
      <w:pPr>
        <w:ind w:left="487" w:hanging="247"/>
      </w:pPr>
      <w:rPr>
        <w:rFonts w:hint="default"/>
        <w:spacing w:val="0"/>
        <w:w w:val="100"/>
        <w:lang w:val="id" w:eastAsia="en-US" w:bidi="ar-SA"/>
      </w:rPr>
    </w:lvl>
    <w:lvl w:ilvl="1" w:tplc="9A80CCE0">
      <w:start w:val="1"/>
      <w:numFmt w:val="lowerLetter"/>
      <w:lvlText w:val="%2."/>
      <w:lvlJc w:val="left"/>
      <w:pPr>
        <w:ind w:left="667" w:hanging="361"/>
      </w:pPr>
      <w:rPr>
        <w:rFonts w:hint="default"/>
        <w:spacing w:val="-1"/>
        <w:w w:val="100"/>
        <w:lang w:val="id" w:eastAsia="en-US" w:bidi="ar-SA"/>
      </w:rPr>
    </w:lvl>
    <w:lvl w:ilvl="2" w:tplc="57E8F73C">
      <w:numFmt w:val="bullet"/>
      <w:lvlText w:val="•"/>
      <w:lvlJc w:val="left"/>
      <w:pPr>
        <w:ind w:left="1556" w:hanging="361"/>
      </w:pPr>
      <w:rPr>
        <w:rFonts w:hint="default"/>
        <w:lang w:val="id" w:eastAsia="en-US" w:bidi="ar-SA"/>
      </w:rPr>
    </w:lvl>
    <w:lvl w:ilvl="3" w:tplc="4762CFD8">
      <w:numFmt w:val="bullet"/>
      <w:lvlText w:val="•"/>
      <w:lvlJc w:val="left"/>
      <w:pPr>
        <w:ind w:left="2453" w:hanging="361"/>
      </w:pPr>
      <w:rPr>
        <w:rFonts w:hint="default"/>
        <w:lang w:val="id" w:eastAsia="en-US" w:bidi="ar-SA"/>
      </w:rPr>
    </w:lvl>
    <w:lvl w:ilvl="4" w:tplc="2A80F8AE">
      <w:numFmt w:val="bullet"/>
      <w:lvlText w:val="•"/>
      <w:lvlJc w:val="left"/>
      <w:pPr>
        <w:ind w:left="3350" w:hanging="361"/>
      </w:pPr>
      <w:rPr>
        <w:rFonts w:hint="default"/>
        <w:lang w:val="id" w:eastAsia="en-US" w:bidi="ar-SA"/>
      </w:rPr>
    </w:lvl>
    <w:lvl w:ilvl="5" w:tplc="DD06ED4C">
      <w:numFmt w:val="bullet"/>
      <w:lvlText w:val="•"/>
      <w:lvlJc w:val="left"/>
      <w:pPr>
        <w:ind w:left="4247" w:hanging="361"/>
      </w:pPr>
      <w:rPr>
        <w:rFonts w:hint="default"/>
        <w:lang w:val="id" w:eastAsia="en-US" w:bidi="ar-SA"/>
      </w:rPr>
    </w:lvl>
    <w:lvl w:ilvl="6" w:tplc="15D8734C">
      <w:numFmt w:val="bullet"/>
      <w:lvlText w:val="•"/>
      <w:lvlJc w:val="left"/>
      <w:pPr>
        <w:ind w:left="5144" w:hanging="361"/>
      </w:pPr>
      <w:rPr>
        <w:rFonts w:hint="default"/>
        <w:lang w:val="id" w:eastAsia="en-US" w:bidi="ar-SA"/>
      </w:rPr>
    </w:lvl>
    <w:lvl w:ilvl="7" w:tplc="8C6E043A">
      <w:numFmt w:val="bullet"/>
      <w:lvlText w:val="•"/>
      <w:lvlJc w:val="left"/>
      <w:pPr>
        <w:ind w:left="6041" w:hanging="361"/>
      </w:pPr>
      <w:rPr>
        <w:rFonts w:hint="default"/>
        <w:lang w:val="id" w:eastAsia="en-US" w:bidi="ar-SA"/>
      </w:rPr>
    </w:lvl>
    <w:lvl w:ilvl="8" w:tplc="A0F8D59E">
      <w:numFmt w:val="bullet"/>
      <w:lvlText w:val="•"/>
      <w:lvlJc w:val="left"/>
      <w:pPr>
        <w:ind w:left="6938" w:hanging="361"/>
      </w:pPr>
      <w:rPr>
        <w:rFonts w:hint="default"/>
        <w:lang w:val="id" w:eastAsia="en-US" w:bidi="ar-SA"/>
      </w:rPr>
    </w:lvl>
  </w:abstractNum>
  <w:abstractNum w:abstractNumId="47" w15:restartNumberingAfterBreak="0">
    <w:nsid w:val="595A169B"/>
    <w:multiLevelType w:val="hybridMultilevel"/>
    <w:tmpl w:val="4150097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21000F">
      <w:start w:val="1"/>
      <w:numFmt w:val="decimal"/>
      <w:lvlText w:val="%3."/>
      <w:lvlJc w:val="left"/>
      <w:pPr>
        <w:ind w:left="1287"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511A3F"/>
    <w:multiLevelType w:val="hybridMultilevel"/>
    <w:tmpl w:val="8E749F3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60D2367E"/>
    <w:multiLevelType w:val="multilevel"/>
    <w:tmpl w:val="9EFCD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1861F7F"/>
    <w:multiLevelType w:val="multilevel"/>
    <w:tmpl w:val="23D4F4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64B5362C"/>
    <w:multiLevelType w:val="multilevel"/>
    <w:tmpl w:val="C99E36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666625EB"/>
    <w:multiLevelType w:val="hybridMultilevel"/>
    <w:tmpl w:val="4C0AA18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6B2C4E15"/>
    <w:multiLevelType w:val="hybridMultilevel"/>
    <w:tmpl w:val="69CE99AC"/>
    <w:lvl w:ilvl="0" w:tplc="FCA61DC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C8216B4"/>
    <w:multiLevelType w:val="hybridMultilevel"/>
    <w:tmpl w:val="54F2260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15:restartNumberingAfterBreak="0">
    <w:nsid w:val="6CF71CD2"/>
    <w:multiLevelType w:val="multilevel"/>
    <w:tmpl w:val="6CF71CD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15:restartNumberingAfterBreak="0">
    <w:nsid w:val="6D7F6B4E"/>
    <w:multiLevelType w:val="hybridMultilevel"/>
    <w:tmpl w:val="71206DDC"/>
    <w:lvl w:ilvl="0" w:tplc="0409000F">
      <w:start w:val="1"/>
      <w:numFmt w:val="decimal"/>
      <w:lvlText w:val="%1."/>
      <w:lvlJc w:val="left"/>
      <w:pPr>
        <w:ind w:left="720" w:hanging="360"/>
      </w:pPr>
      <w:rPr>
        <w:rFonts w:ascii="Times New Roman" w:eastAsia="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DB03827"/>
    <w:multiLevelType w:val="hybridMultilevel"/>
    <w:tmpl w:val="58A40B6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8" w15:restartNumberingAfterBreak="0">
    <w:nsid w:val="6E0B7864"/>
    <w:multiLevelType w:val="hybridMultilevel"/>
    <w:tmpl w:val="57C4526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6E9B0EFD"/>
    <w:multiLevelType w:val="multilevel"/>
    <w:tmpl w:val="6E9B0EFD"/>
    <w:lvl w:ilvl="0">
      <w:start w:val="1"/>
      <w:numFmt w:val="decimal"/>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F5D1ADE"/>
    <w:multiLevelType w:val="multilevel"/>
    <w:tmpl w:val="DF2AF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07577A2"/>
    <w:multiLevelType w:val="hybridMultilevel"/>
    <w:tmpl w:val="A1B4EE4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15:restartNumberingAfterBreak="0">
    <w:nsid w:val="713E2F8B"/>
    <w:multiLevelType w:val="hybridMultilevel"/>
    <w:tmpl w:val="2CCE2E7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74066702"/>
    <w:multiLevelType w:val="hybridMultilevel"/>
    <w:tmpl w:val="3962D71E"/>
    <w:lvl w:ilvl="0" w:tplc="C9D6B31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4" w15:restartNumberingAfterBreak="0">
    <w:nsid w:val="77E42C68"/>
    <w:multiLevelType w:val="hybridMultilevel"/>
    <w:tmpl w:val="854AF39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78A932C9"/>
    <w:multiLevelType w:val="multilevel"/>
    <w:tmpl w:val="21D06DD6"/>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6" w15:restartNumberingAfterBreak="0">
    <w:nsid w:val="7A9E5D65"/>
    <w:multiLevelType w:val="hybridMultilevel"/>
    <w:tmpl w:val="022A6166"/>
    <w:lvl w:ilvl="0" w:tplc="C8E69C76">
      <w:start w:val="1"/>
      <w:numFmt w:val="decimal"/>
      <w:lvlText w:val="%1."/>
      <w:lvlJc w:val="left"/>
      <w:pPr>
        <w:ind w:left="1800" w:hanging="360"/>
      </w:pPr>
      <w:rPr>
        <w:rFonts w:eastAsia="Times New Roman" w:hint="default"/>
        <w:b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7" w15:restartNumberingAfterBreak="0">
    <w:nsid w:val="7B9977D2"/>
    <w:multiLevelType w:val="hybridMultilevel"/>
    <w:tmpl w:val="F5AC5FA2"/>
    <w:lvl w:ilvl="0" w:tplc="F3F20E0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8" w15:restartNumberingAfterBreak="0">
    <w:nsid w:val="7F58267C"/>
    <w:multiLevelType w:val="multilevel"/>
    <w:tmpl w:val="3B26A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F721025"/>
    <w:multiLevelType w:val="hybridMultilevel"/>
    <w:tmpl w:val="60089778"/>
    <w:lvl w:ilvl="0" w:tplc="39F0F988">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70" w15:restartNumberingAfterBreak="0">
    <w:nsid w:val="7F900004"/>
    <w:multiLevelType w:val="multilevel"/>
    <w:tmpl w:val="80A82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9225208">
    <w:abstractNumId w:val="25"/>
  </w:num>
  <w:num w:numId="2" w16cid:durableId="1252860122">
    <w:abstractNumId w:val="4"/>
  </w:num>
  <w:num w:numId="3" w16cid:durableId="283537205">
    <w:abstractNumId w:val="9"/>
  </w:num>
  <w:num w:numId="4" w16cid:durableId="1810435088">
    <w:abstractNumId w:val="40"/>
  </w:num>
  <w:num w:numId="5" w16cid:durableId="1526213001">
    <w:abstractNumId w:val="50"/>
  </w:num>
  <w:num w:numId="6" w16cid:durableId="1994215389">
    <w:abstractNumId w:val="35"/>
  </w:num>
  <w:num w:numId="7" w16cid:durableId="1542748202">
    <w:abstractNumId w:val="27"/>
  </w:num>
  <w:num w:numId="8" w16cid:durableId="648898329">
    <w:abstractNumId w:val="54"/>
  </w:num>
  <w:num w:numId="9" w16cid:durableId="1129125297">
    <w:abstractNumId w:val="52"/>
  </w:num>
  <w:num w:numId="10" w16cid:durableId="1323434923">
    <w:abstractNumId w:val="64"/>
  </w:num>
  <w:num w:numId="11" w16cid:durableId="1039862378">
    <w:abstractNumId w:val="29"/>
  </w:num>
  <w:num w:numId="12" w16cid:durableId="1000163398">
    <w:abstractNumId w:val="13"/>
  </w:num>
  <w:num w:numId="13" w16cid:durableId="1158839221">
    <w:abstractNumId w:val="53"/>
  </w:num>
  <w:num w:numId="14" w16cid:durableId="369888041">
    <w:abstractNumId w:val="41"/>
  </w:num>
  <w:num w:numId="15" w16cid:durableId="147720700">
    <w:abstractNumId w:val="51"/>
  </w:num>
  <w:num w:numId="16" w16cid:durableId="1733236862">
    <w:abstractNumId w:val="11"/>
  </w:num>
  <w:num w:numId="17" w16cid:durableId="844201633">
    <w:abstractNumId w:val="6"/>
  </w:num>
  <w:num w:numId="18" w16cid:durableId="1776632018">
    <w:abstractNumId w:val="58"/>
  </w:num>
  <w:num w:numId="19" w16cid:durableId="2049984162">
    <w:abstractNumId w:val="15"/>
  </w:num>
  <w:num w:numId="20" w16cid:durableId="1609460775">
    <w:abstractNumId w:val="14"/>
  </w:num>
  <w:num w:numId="21" w16cid:durableId="1161233514">
    <w:abstractNumId w:val="55"/>
  </w:num>
  <w:num w:numId="22" w16cid:durableId="2122676416">
    <w:abstractNumId w:val="46"/>
  </w:num>
  <w:num w:numId="23" w16cid:durableId="1825505441">
    <w:abstractNumId w:val="21"/>
  </w:num>
  <w:num w:numId="24" w16cid:durableId="912662139">
    <w:abstractNumId w:val="42"/>
  </w:num>
  <w:num w:numId="25" w16cid:durableId="1640063391">
    <w:abstractNumId w:val="0"/>
  </w:num>
  <w:num w:numId="26" w16cid:durableId="194194223">
    <w:abstractNumId w:val="45"/>
  </w:num>
  <w:num w:numId="27" w16cid:durableId="1034305707">
    <w:abstractNumId w:val="38"/>
  </w:num>
  <w:num w:numId="28" w16cid:durableId="1831020929">
    <w:abstractNumId w:val="2"/>
  </w:num>
  <w:num w:numId="29" w16cid:durableId="765424983">
    <w:abstractNumId w:val="37"/>
  </w:num>
  <w:num w:numId="30" w16cid:durableId="206718456">
    <w:abstractNumId w:val="47"/>
  </w:num>
  <w:num w:numId="31" w16cid:durableId="1205369166">
    <w:abstractNumId w:val="39"/>
  </w:num>
  <w:num w:numId="32" w16cid:durableId="2139910060">
    <w:abstractNumId w:val="63"/>
  </w:num>
  <w:num w:numId="33" w16cid:durableId="1353531357">
    <w:abstractNumId w:val="36"/>
  </w:num>
  <w:num w:numId="34" w16cid:durableId="422608041">
    <w:abstractNumId w:val="67"/>
  </w:num>
  <w:num w:numId="35" w16cid:durableId="186529943">
    <w:abstractNumId w:val="34"/>
  </w:num>
  <w:num w:numId="36" w16cid:durableId="380832766">
    <w:abstractNumId w:val="66"/>
  </w:num>
  <w:num w:numId="37" w16cid:durableId="1593933150">
    <w:abstractNumId w:val="23"/>
  </w:num>
  <w:num w:numId="38" w16cid:durableId="1617836114">
    <w:abstractNumId w:val="62"/>
  </w:num>
  <w:num w:numId="39" w16cid:durableId="1889026957">
    <w:abstractNumId w:val="30"/>
  </w:num>
  <w:num w:numId="40" w16cid:durableId="1445543193">
    <w:abstractNumId w:val="1"/>
  </w:num>
  <w:num w:numId="41" w16cid:durableId="1547133864">
    <w:abstractNumId w:val="5"/>
  </w:num>
  <w:num w:numId="42" w16cid:durableId="845091408">
    <w:abstractNumId w:val="57"/>
  </w:num>
  <w:num w:numId="43" w16cid:durableId="1686324430">
    <w:abstractNumId w:val="20"/>
  </w:num>
  <w:num w:numId="44" w16cid:durableId="1877740053">
    <w:abstractNumId w:val="59"/>
  </w:num>
  <w:num w:numId="45" w16cid:durableId="1228304084">
    <w:abstractNumId w:val="16"/>
  </w:num>
  <w:num w:numId="46" w16cid:durableId="1060398680">
    <w:abstractNumId w:val="3"/>
  </w:num>
  <w:num w:numId="47" w16cid:durableId="1973554661">
    <w:abstractNumId w:val="24"/>
  </w:num>
  <w:num w:numId="48" w16cid:durableId="1455637558">
    <w:abstractNumId w:val="17"/>
  </w:num>
  <w:num w:numId="49" w16cid:durableId="301886713">
    <w:abstractNumId w:val="10"/>
  </w:num>
  <w:num w:numId="50" w16cid:durableId="1418557826">
    <w:abstractNumId w:val="56"/>
  </w:num>
  <w:num w:numId="51" w16cid:durableId="1462646051">
    <w:abstractNumId w:val="49"/>
  </w:num>
  <w:num w:numId="52" w16cid:durableId="1162694837">
    <w:abstractNumId w:val="65"/>
  </w:num>
  <w:num w:numId="53" w16cid:durableId="835419622">
    <w:abstractNumId w:val="8"/>
  </w:num>
  <w:num w:numId="54" w16cid:durableId="357582853">
    <w:abstractNumId w:val="18"/>
  </w:num>
  <w:num w:numId="55" w16cid:durableId="260340085">
    <w:abstractNumId w:val="33"/>
  </w:num>
  <w:num w:numId="56" w16cid:durableId="1498837188">
    <w:abstractNumId w:val="28"/>
  </w:num>
  <w:num w:numId="57" w16cid:durableId="1926305676">
    <w:abstractNumId w:val="69"/>
  </w:num>
  <w:num w:numId="58" w16cid:durableId="652758457">
    <w:abstractNumId w:val="68"/>
  </w:num>
  <w:num w:numId="59" w16cid:durableId="1106077665">
    <w:abstractNumId w:val="61"/>
  </w:num>
  <w:num w:numId="60" w16cid:durableId="1047529053">
    <w:abstractNumId w:val="43"/>
  </w:num>
  <w:num w:numId="61" w16cid:durableId="722221234">
    <w:abstractNumId w:val="48"/>
  </w:num>
  <w:num w:numId="62" w16cid:durableId="67921921">
    <w:abstractNumId w:val="26"/>
  </w:num>
  <w:num w:numId="63" w16cid:durableId="1377270139">
    <w:abstractNumId w:val="31"/>
  </w:num>
  <w:num w:numId="64" w16cid:durableId="565800093">
    <w:abstractNumId w:val="60"/>
  </w:num>
  <w:num w:numId="65" w16cid:durableId="1283538427">
    <w:abstractNumId w:val="12"/>
  </w:num>
  <w:num w:numId="66" w16cid:durableId="559053041">
    <w:abstractNumId w:val="7"/>
  </w:num>
  <w:num w:numId="67" w16cid:durableId="1066950392">
    <w:abstractNumId w:val="70"/>
  </w:num>
  <w:num w:numId="68" w16cid:durableId="949360064">
    <w:abstractNumId w:val="22"/>
  </w:num>
  <w:num w:numId="69" w16cid:durableId="1790708901">
    <w:abstractNumId w:val="32"/>
  </w:num>
  <w:num w:numId="70" w16cid:durableId="73087806">
    <w:abstractNumId w:val="44"/>
  </w:num>
  <w:num w:numId="71" w16cid:durableId="119734851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D82"/>
    <w:rsid w:val="00000C64"/>
    <w:rsid w:val="00000D45"/>
    <w:rsid w:val="00001087"/>
    <w:rsid w:val="000011FC"/>
    <w:rsid w:val="00001C9B"/>
    <w:rsid w:val="00002050"/>
    <w:rsid w:val="000056FE"/>
    <w:rsid w:val="00005755"/>
    <w:rsid w:val="00005849"/>
    <w:rsid w:val="00005BAF"/>
    <w:rsid w:val="00005D6D"/>
    <w:rsid w:val="0000660A"/>
    <w:rsid w:val="00006EEB"/>
    <w:rsid w:val="00007411"/>
    <w:rsid w:val="0000782F"/>
    <w:rsid w:val="00007968"/>
    <w:rsid w:val="00007F7E"/>
    <w:rsid w:val="00007FC4"/>
    <w:rsid w:val="00010133"/>
    <w:rsid w:val="0001035B"/>
    <w:rsid w:val="00010364"/>
    <w:rsid w:val="00010EAD"/>
    <w:rsid w:val="00010F66"/>
    <w:rsid w:val="000129B4"/>
    <w:rsid w:val="00012C2D"/>
    <w:rsid w:val="000130BE"/>
    <w:rsid w:val="000139D0"/>
    <w:rsid w:val="00013B47"/>
    <w:rsid w:val="000140EB"/>
    <w:rsid w:val="000153A6"/>
    <w:rsid w:val="0001559D"/>
    <w:rsid w:val="00015E0A"/>
    <w:rsid w:val="00015E17"/>
    <w:rsid w:val="00016028"/>
    <w:rsid w:val="00016874"/>
    <w:rsid w:val="00016897"/>
    <w:rsid w:val="0002056D"/>
    <w:rsid w:val="0002191D"/>
    <w:rsid w:val="00021A57"/>
    <w:rsid w:val="00021C4E"/>
    <w:rsid w:val="0002204E"/>
    <w:rsid w:val="00022595"/>
    <w:rsid w:val="000229B2"/>
    <w:rsid w:val="0002369E"/>
    <w:rsid w:val="000250B1"/>
    <w:rsid w:val="00026952"/>
    <w:rsid w:val="000269B3"/>
    <w:rsid w:val="00026A4E"/>
    <w:rsid w:val="00027013"/>
    <w:rsid w:val="00027253"/>
    <w:rsid w:val="00027ABB"/>
    <w:rsid w:val="00030209"/>
    <w:rsid w:val="000302C2"/>
    <w:rsid w:val="00031039"/>
    <w:rsid w:val="000317ED"/>
    <w:rsid w:val="00031DAB"/>
    <w:rsid w:val="00031DDF"/>
    <w:rsid w:val="00032FBD"/>
    <w:rsid w:val="0003305B"/>
    <w:rsid w:val="00033185"/>
    <w:rsid w:val="00033F9F"/>
    <w:rsid w:val="000342F7"/>
    <w:rsid w:val="00034589"/>
    <w:rsid w:val="00034864"/>
    <w:rsid w:val="00034904"/>
    <w:rsid w:val="00035355"/>
    <w:rsid w:val="000358E8"/>
    <w:rsid w:val="00036A4A"/>
    <w:rsid w:val="00037D8A"/>
    <w:rsid w:val="000403DF"/>
    <w:rsid w:val="00040790"/>
    <w:rsid w:val="00040B6E"/>
    <w:rsid w:val="00040F87"/>
    <w:rsid w:val="000421FC"/>
    <w:rsid w:val="000425A2"/>
    <w:rsid w:val="000428CA"/>
    <w:rsid w:val="00042BE5"/>
    <w:rsid w:val="000451AE"/>
    <w:rsid w:val="000454C7"/>
    <w:rsid w:val="00045A84"/>
    <w:rsid w:val="00045D55"/>
    <w:rsid w:val="00045D66"/>
    <w:rsid w:val="00046F0B"/>
    <w:rsid w:val="00047C2C"/>
    <w:rsid w:val="00050795"/>
    <w:rsid w:val="000510E6"/>
    <w:rsid w:val="00051C64"/>
    <w:rsid w:val="00052771"/>
    <w:rsid w:val="00052B0A"/>
    <w:rsid w:val="0005309A"/>
    <w:rsid w:val="000541FE"/>
    <w:rsid w:val="000558EE"/>
    <w:rsid w:val="00055985"/>
    <w:rsid w:val="00056070"/>
    <w:rsid w:val="00056A04"/>
    <w:rsid w:val="0005754B"/>
    <w:rsid w:val="000575FB"/>
    <w:rsid w:val="00057BF0"/>
    <w:rsid w:val="000601E1"/>
    <w:rsid w:val="00060759"/>
    <w:rsid w:val="00061BA9"/>
    <w:rsid w:val="00061EE7"/>
    <w:rsid w:val="00062733"/>
    <w:rsid w:val="00062CB4"/>
    <w:rsid w:val="00062CFE"/>
    <w:rsid w:val="000630F3"/>
    <w:rsid w:val="00063189"/>
    <w:rsid w:val="00063FB9"/>
    <w:rsid w:val="000641B9"/>
    <w:rsid w:val="00064B0C"/>
    <w:rsid w:val="000656C4"/>
    <w:rsid w:val="00065B4C"/>
    <w:rsid w:val="00065D3E"/>
    <w:rsid w:val="00066244"/>
    <w:rsid w:val="00066813"/>
    <w:rsid w:val="00067289"/>
    <w:rsid w:val="00070325"/>
    <w:rsid w:val="0007048D"/>
    <w:rsid w:val="00070F63"/>
    <w:rsid w:val="00071774"/>
    <w:rsid w:val="00071A8A"/>
    <w:rsid w:val="00072442"/>
    <w:rsid w:val="0007250E"/>
    <w:rsid w:val="00072D73"/>
    <w:rsid w:val="000731E5"/>
    <w:rsid w:val="00073934"/>
    <w:rsid w:val="00073ED0"/>
    <w:rsid w:val="00074EC6"/>
    <w:rsid w:val="000754C5"/>
    <w:rsid w:val="00076185"/>
    <w:rsid w:val="000765A0"/>
    <w:rsid w:val="0007690B"/>
    <w:rsid w:val="000806FA"/>
    <w:rsid w:val="00081287"/>
    <w:rsid w:val="000813EF"/>
    <w:rsid w:val="000816ED"/>
    <w:rsid w:val="000816F5"/>
    <w:rsid w:val="00081875"/>
    <w:rsid w:val="000828F3"/>
    <w:rsid w:val="00082E62"/>
    <w:rsid w:val="00084058"/>
    <w:rsid w:val="000840B4"/>
    <w:rsid w:val="00084C8A"/>
    <w:rsid w:val="000859EA"/>
    <w:rsid w:val="00085CA5"/>
    <w:rsid w:val="00086D6F"/>
    <w:rsid w:val="000875AC"/>
    <w:rsid w:val="000900B3"/>
    <w:rsid w:val="000909D9"/>
    <w:rsid w:val="00090B9E"/>
    <w:rsid w:val="00091D6E"/>
    <w:rsid w:val="000920F3"/>
    <w:rsid w:val="00092324"/>
    <w:rsid w:val="00092BB4"/>
    <w:rsid w:val="00092DB1"/>
    <w:rsid w:val="00093BC1"/>
    <w:rsid w:val="00094013"/>
    <w:rsid w:val="000941C1"/>
    <w:rsid w:val="0009488B"/>
    <w:rsid w:val="00094E51"/>
    <w:rsid w:val="0009762D"/>
    <w:rsid w:val="000A00C3"/>
    <w:rsid w:val="000A0F87"/>
    <w:rsid w:val="000A15DE"/>
    <w:rsid w:val="000A1BE4"/>
    <w:rsid w:val="000A1FB8"/>
    <w:rsid w:val="000A2426"/>
    <w:rsid w:val="000A24BD"/>
    <w:rsid w:val="000A325E"/>
    <w:rsid w:val="000A47BE"/>
    <w:rsid w:val="000A4CEA"/>
    <w:rsid w:val="000A4DFB"/>
    <w:rsid w:val="000A55A0"/>
    <w:rsid w:val="000A5637"/>
    <w:rsid w:val="000A77A7"/>
    <w:rsid w:val="000A7FA4"/>
    <w:rsid w:val="000B0E05"/>
    <w:rsid w:val="000B100B"/>
    <w:rsid w:val="000B1AC0"/>
    <w:rsid w:val="000B219C"/>
    <w:rsid w:val="000B2466"/>
    <w:rsid w:val="000B2481"/>
    <w:rsid w:val="000B2587"/>
    <w:rsid w:val="000B2BB3"/>
    <w:rsid w:val="000B37BF"/>
    <w:rsid w:val="000B3803"/>
    <w:rsid w:val="000B3B62"/>
    <w:rsid w:val="000B4838"/>
    <w:rsid w:val="000B5B9A"/>
    <w:rsid w:val="000B5CF2"/>
    <w:rsid w:val="000B62E7"/>
    <w:rsid w:val="000B697F"/>
    <w:rsid w:val="000B7403"/>
    <w:rsid w:val="000B79C7"/>
    <w:rsid w:val="000B7CEB"/>
    <w:rsid w:val="000C04DF"/>
    <w:rsid w:val="000C0660"/>
    <w:rsid w:val="000C0805"/>
    <w:rsid w:val="000C0E91"/>
    <w:rsid w:val="000C130B"/>
    <w:rsid w:val="000C1ED8"/>
    <w:rsid w:val="000C2F95"/>
    <w:rsid w:val="000C30C6"/>
    <w:rsid w:val="000C33DB"/>
    <w:rsid w:val="000C377D"/>
    <w:rsid w:val="000C4298"/>
    <w:rsid w:val="000C497B"/>
    <w:rsid w:val="000C5167"/>
    <w:rsid w:val="000C5646"/>
    <w:rsid w:val="000C6064"/>
    <w:rsid w:val="000C664B"/>
    <w:rsid w:val="000D0449"/>
    <w:rsid w:val="000D0578"/>
    <w:rsid w:val="000D1FEF"/>
    <w:rsid w:val="000D30E1"/>
    <w:rsid w:val="000D4CDE"/>
    <w:rsid w:val="000D587B"/>
    <w:rsid w:val="000D5C7B"/>
    <w:rsid w:val="000D643F"/>
    <w:rsid w:val="000D7721"/>
    <w:rsid w:val="000E051C"/>
    <w:rsid w:val="000E0809"/>
    <w:rsid w:val="000E1705"/>
    <w:rsid w:val="000E2A0D"/>
    <w:rsid w:val="000E31F9"/>
    <w:rsid w:val="000E39D3"/>
    <w:rsid w:val="000E407B"/>
    <w:rsid w:val="000E45DC"/>
    <w:rsid w:val="000E47C6"/>
    <w:rsid w:val="000E5387"/>
    <w:rsid w:val="000E552B"/>
    <w:rsid w:val="000E5C95"/>
    <w:rsid w:val="000E65CF"/>
    <w:rsid w:val="000E7041"/>
    <w:rsid w:val="000E71B9"/>
    <w:rsid w:val="000E7834"/>
    <w:rsid w:val="000E788D"/>
    <w:rsid w:val="000F0690"/>
    <w:rsid w:val="000F08A4"/>
    <w:rsid w:val="000F0D60"/>
    <w:rsid w:val="000F222C"/>
    <w:rsid w:val="000F2C69"/>
    <w:rsid w:val="000F32D5"/>
    <w:rsid w:val="000F3418"/>
    <w:rsid w:val="000F3AFF"/>
    <w:rsid w:val="000F47CB"/>
    <w:rsid w:val="000F549A"/>
    <w:rsid w:val="000F6751"/>
    <w:rsid w:val="000F7468"/>
    <w:rsid w:val="000F7AD7"/>
    <w:rsid w:val="000F7B18"/>
    <w:rsid w:val="000F7B4A"/>
    <w:rsid w:val="000F7E40"/>
    <w:rsid w:val="001000C4"/>
    <w:rsid w:val="001019FB"/>
    <w:rsid w:val="00102001"/>
    <w:rsid w:val="00102631"/>
    <w:rsid w:val="00102963"/>
    <w:rsid w:val="00102D8A"/>
    <w:rsid w:val="0010432F"/>
    <w:rsid w:val="00104744"/>
    <w:rsid w:val="001055FF"/>
    <w:rsid w:val="00105A4B"/>
    <w:rsid w:val="00105EB8"/>
    <w:rsid w:val="001068E7"/>
    <w:rsid w:val="00106EB2"/>
    <w:rsid w:val="00110FB0"/>
    <w:rsid w:val="001118E6"/>
    <w:rsid w:val="001120DB"/>
    <w:rsid w:val="00112DE7"/>
    <w:rsid w:val="0011334D"/>
    <w:rsid w:val="00113C94"/>
    <w:rsid w:val="00113E7A"/>
    <w:rsid w:val="00113FCD"/>
    <w:rsid w:val="001143F4"/>
    <w:rsid w:val="00114803"/>
    <w:rsid w:val="00114BA1"/>
    <w:rsid w:val="001151C1"/>
    <w:rsid w:val="00115F30"/>
    <w:rsid w:val="00116343"/>
    <w:rsid w:val="00116A65"/>
    <w:rsid w:val="00116EA1"/>
    <w:rsid w:val="00117212"/>
    <w:rsid w:val="00121EE4"/>
    <w:rsid w:val="00122129"/>
    <w:rsid w:val="0012223D"/>
    <w:rsid w:val="0012370E"/>
    <w:rsid w:val="00123A16"/>
    <w:rsid w:val="00123E9F"/>
    <w:rsid w:val="00124410"/>
    <w:rsid w:val="001244A1"/>
    <w:rsid w:val="0012455D"/>
    <w:rsid w:val="0012496E"/>
    <w:rsid w:val="00124EDD"/>
    <w:rsid w:val="00126C29"/>
    <w:rsid w:val="00126FB4"/>
    <w:rsid w:val="00131D2F"/>
    <w:rsid w:val="00132C16"/>
    <w:rsid w:val="00133D88"/>
    <w:rsid w:val="00134116"/>
    <w:rsid w:val="001351D4"/>
    <w:rsid w:val="00135449"/>
    <w:rsid w:val="00136666"/>
    <w:rsid w:val="00136946"/>
    <w:rsid w:val="00136E94"/>
    <w:rsid w:val="0014022F"/>
    <w:rsid w:val="00140893"/>
    <w:rsid w:val="00141105"/>
    <w:rsid w:val="00141986"/>
    <w:rsid w:val="00141CEA"/>
    <w:rsid w:val="00141E2C"/>
    <w:rsid w:val="00143282"/>
    <w:rsid w:val="00145491"/>
    <w:rsid w:val="00146812"/>
    <w:rsid w:val="00146EC2"/>
    <w:rsid w:val="0015059E"/>
    <w:rsid w:val="00150B55"/>
    <w:rsid w:val="00151CFC"/>
    <w:rsid w:val="00152761"/>
    <w:rsid w:val="00153C21"/>
    <w:rsid w:val="00154D6D"/>
    <w:rsid w:val="00154FCB"/>
    <w:rsid w:val="0015575B"/>
    <w:rsid w:val="001563F1"/>
    <w:rsid w:val="00156610"/>
    <w:rsid w:val="00156BA5"/>
    <w:rsid w:val="00157430"/>
    <w:rsid w:val="00157561"/>
    <w:rsid w:val="00157848"/>
    <w:rsid w:val="00160652"/>
    <w:rsid w:val="00160DC7"/>
    <w:rsid w:val="0016233E"/>
    <w:rsid w:val="0016272F"/>
    <w:rsid w:val="00162748"/>
    <w:rsid w:val="00162E35"/>
    <w:rsid w:val="001634F3"/>
    <w:rsid w:val="0016491D"/>
    <w:rsid w:val="00164EF5"/>
    <w:rsid w:val="0016512A"/>
    <w:rsid w:val="00166B87"/>
    <w:rsid w:val="00166FC1"/>
    <w:rsid w:val="00167A1D"/>
    <w:rsid w:val="00167D2A"/>
    <w:rsid w:val="00170FD7"/>
    <w:rsid w:val="00171B8A"/>
    <w:rsid w:val="00171C99"/>
    <w:rsid w:val="001721A2"/>
    <w:rsid w:val="00172F7A"/>
    <w:rsid w:val="0017384E"/>
    <w:rsid w:val="00174AFC"/>
    <w:rsid w:val="00176577"/>
    <w:rsid w:val="00176EDB"/>
    <w:rsid w:val="00176F35"/>
    <w:rsid w:val="001770DD"/>
    <w:rsid w:val="001775F6"/>
    <w:rsid w:val="001801F2"/>
    <w:rsid w:val="00180D21"/>
    <w:rsid w:val="001823CC"/>
    <w:rsid w:val="001824E8"/>
    <w:rsid w:val="00182DFA"/>
    <w:rsid w:val="00182FB8"/>
    <w:rsid w:val="0018347A"/>
    <w:rsid w:val="00184150"/>
    <w:rsid w:val="00184A1E"/>
    <w:rsid w:val="00185592"/>
    <w:rsid w:val="00185807"/>
    <w:rsid w:val="001858AF"/>
    <w:rsid w:val="001859EF"/>
    <w:rsid w:val="0018625D"/>
    <w:rsid w:val="00186765"/>
    <w:rsid w:val="0018726D"/>
    <w:rsid w:val="001878EC"/>
    <w:rsid w:val="00187921"/>
    <w:rsid w:val="00187FE8"/>
    <w:rsid w:val="001907D8"/>
    <w:rsid w:val="00190AE0"/>
    <w:rsid w:val="00190FB4"/>
    <w:rsid w:val="00192353"/>
    <w:rsid w:val="001926D8"/>
    <w:rsid w:val="00192A39"/>
    <w:rsid w:val="00192AFF"/>
    <w:rsid w:val="00193CED"/>
    <w:rsid w:val="00193F6E"/>
    <w:rsid w:val="001942F3"/>
    <w:rsid w:val="00194F67"/>
    <w:rsid w:val="00195495"/>
    <w:rsid w:val="001957BD"/>
    <w:rsid w:val="001963FB"/>
    <w:rsid w:val="00196EB8"/>
    <w:rsid w:val="0019733D"/>
    <w:rsid w:val="001A1B7F"/>
    <w:rsid w:val="001A1DBB"/>
    <w:rsid w:val="001A2A53"/>
    <w:rsid w:val="001A2BA0"/>
    <w:rsid w:val="001A2E64"/>
    <w:rsid w:val="001A34CB"/>
    <w:rsid w:val="001A3B4F"/>
    <w:rsid w:val="001A3B99"/>
    <w:rsid w:val="001A3DF9"/>
    <w:rsid w:val="001A4048"/>
    <w:rsid w:val="001A49C3"/>
    <w:rsid w:val="001A56EC"/>
    <w:rsid w:val="001A5CFC"/>
    <w:rsid w:val="001A693F"/>
    <w:rsid w:val="001A7D8F"/>
    <w:rsid w:val="001B02D3"/>
    <w:rsid w:val="001B05E3"/>
    <w:rsid w:val="001B08DE"/>
    <w:rsid w:val="001B093E"/>
    <w:rsid w:val="001B197D"/>
    <w:rsid w:val="001B2596"/>
    <w:rsid w:val="001B2F3C"/>
    <w:rsid w:val="001B31D3"/>
    <w:rsid w:val="001B35EF"/>
    <w:rsid w:val="001B4509"/>
    <w:rsid w:val="001B5440"/>
    <w:rsid w:val="001B5615"/>
    <w:rsid w:val="001B6223"/>
    <w:rsid w:val="001B667A"/>
    <w:rsid w:val="001B730A"/>
    <w:rsid w:val="001C059B"/>
    <w:rsid w:val="001C05FE"/>
    <w:rsid w:val="001C15A1"/>
    <w:rsid w:val="001C18B8"/>
    <w:rsid w:val="001C3BFA"/>
    <w:rsid w:val="001C4608"/>
    <w:rsid w:val="001C5C23"/>
    <w:rsid w:val="001C5CD2"/>
    <w:rsid w:val="001C6E58"/>
    <w:rsid w:val="001C6EFC"/>
    <w:rsid w:val="001D0E52"/>
    <w:rsid w:val="001D1113"/>
    <w:rsid w:val="001D1483"/>
    <w:rsid w:val="001D1B9D"/>
    <w:rsid w:val="001D22F3"/>
    <w:rsid w:val="001D247C"/>
    <w:rsid w:val="001D3078"/>
    <w:rsid w:val="001D4561"/>
    <w:rsid w:val="001D6221"/>
    <w:rsid w:val="001D7870"/>
    <w:rsid w:val="001D7A4A"/>
    <w:rsid w:val="001E058C"/>
    <w:rsid w:val="001E1F31"/>
    <w:rsid w:val="001E27CF"/>
    <w:rsid w:val="001E3097"/>
    <w:rsid w:val="001E3304"/>
    <w:rsid w:val="001E33D1"/>
    <w:rsid w:val="001E4011"/>
    <w:rsid w:val="001E579E"/>
    <w:rsid w:val="001E5FD7"/>
    <w:rsid w:val="001E6AC1"/>
    <w:rsid w:val="001F0528"/>
    <w:rsid w:val="001F0A6C"/>
    <w:rsid w:val="001F163A"/>
    <w:rsid w:val="001F17D9"/>
    <w:rsid w:val="001F2482"/>
    <w:rsid w:val="001F253E"/>
    <w:rsid w:val="001F343B"/>
    <w:rsid w:val="001F38AB"/>
    <w:rsid w:val="001F3F53"/>
    <w:rsid w:val="001F42E5"/>
    <w:rsid w:val="001F46DF"/>
    <w:rsid w:val="001F470B"/>
    <w:rsid w:val="001F58C4"/>
    <w:rsid w:val="001F698E"/>
    <w:rsid w:val="001F7644"/>
    <w:rsid w:val="00200D27"/>
    <w:rsid w:val="002013C9"/>
    <w:rsid w:val="00203304"/>
    <w:rsid w:val="0020347A"/>
    <w:rsid w:val="002038AA"/>
    <w:rsid w:val="00203E0D"/>
    <w:rsid w:val="00204543"/>
    <w:rsid w:val="002060AD"/>
    <w:rsid w:val="0020695F"/>
    <w:rsid w:val="00207351"/>
    <w:rsid w:val="002073F2"/>
    <w:rsid w:val="00207726"/>
    <w:rsid w:val="00207D56"/>
    <w:rsid w:val="00210268"/>
    <w:rsid w:val="00210B24"/>
    <w:rsid w:val="00210BE7"/>
    <w:rsid w:val="00210C64"/>
    <w:rsid w:val="002112DE"/>
    <w:rsid w:val="00213005"/>
    <w:rsid w:val="00213CB9"/>
    <w:rsid w:val="002141C0"/>
    <w:rsid w:val="00214429"/>
    <w:rsid w:val="00214F41"/>
    <w:rsid w:val="00215D02"/>
    <w:rsid w:val="00216E88"/>
    <w:rsid w:val="00217CE4"/>
    <w:rsid w:val="00220117"/>
    <w:rsid w:val="002201C0"/>
    <w:rsid w:val="002202A8"/>
    <w:rsid w:val="00220C41"/>
    <w:rsid w:val="002216AD"/>
    <w:rsid w:val="002216D2"/>
    <w:rsid w:val="00223AEA"/>
    <w:rsid w:val="002241F5"/>
    <w:rsid w:val="0022452E"/>
    <w:rsid w:val="00225B25"/>
    <w:rsid w:val="0022740B"/>
    <w:rsid w:val="0022770A"/>
    <w:rsid w:val="00230239"/>
    <w:rsid w:val="00230BE0"/>
    <w:rsid w:val="002317F0"/>
    <w:rsid w:val="0023294C"/>
    <w:rsid w:val="00232BF0"/>
    <w:rsid w:val="00234ED4"/>
    <w:rsid w:val="00235317"/>
    <w:rsid w:val="0023544B"/>
    <w:rsid w:val="00235688"/>
    <w:rsid w:val="00236E88"/>
    <w:rsid w:val="00236F31"/>
    <w:rsid w:val="0024102A"/>
    <w:rsid w:val="00242591"/>
    <w:rsid w:val="00242BFE"/>
    <w:rsid w:val="00242C6B"/>
    <w:rsid w:val="0024335F"/>
    <w:rsid w:val="002445A1"/>
    <w:rsid w:val="002447B1"/>
    <w:rsid w:val="00244BF3"/>
    <w:rsid w:val="00245979"/>
    <w:rsid w:val="00245EB6"/>
    <w:rsid w:val="002464ED"/>
    <w:rsid w:val="002467C3"/>
    <w:rsid w:val="00246852"/>
    <w:rsid w:val="002500D6"/>
    <w:rsid w:val="0025056B"/>
    <w:rsid w:val="0025266D"/>
    <w:rsid w:val="00253FDF"/>
    <w:rsid w:val="0025438D"/>
    <w:rsid w:val="002543AA"/>
    <w:rsid w:val="00254E76"/>
    <w:rsid w:val="00254ED0"/>
    <w:rsid w:val="00255EA9"/>
    <w:rsid w:val="00256190"/>
    <w:rsid w:val="00256394"/>
    <w:rsid w:val="00256A6C"/>
    <w:rsid w:val="00256E88"/>
    <w:rsid w:val="002576AF"/>
    <w:rsid w:val="0026053C"/>
    <w:rsid w:val="00260CF8"/>
    <w:rsid w:val="00260D4C"/>
    <w:rsid w:val="00260D94"/>
    <w:rsid w:val="002618DE"/>
    <w:rsid w:val="0026193C"/>
    <w:rsid w:val="00262D35"/>
    <w:rsid w:val="00262DE2"/>
    <w:rsid w:val="00263D31"/>
    <w:rsid w:val="002662D1"/>
    <w:rsid w:val="002676B5"/>
    <w:rsid w:val="002706F1"/>
    <w:rsid w:val="0027113C"/>
    <w:rsid w:val="0027252B"/>
    <w:rsid w:val="00272832"/>
    <w:rsid w:val="0027328F"/>
    <w:rsid w:val="002741A7"/>
    <w:rsid w:val="00275741"/>
    <w:rsid w:val="00275CC3"/>
    <w:rsid w:val="00276EF7"/>
    <w:rsid w:val="00277DEC"/>
    <w:rsid w:val="0028000E"/>
    <w:rsid w:val="0028110A"/>
    <w:rsid w:val="002816E4"/>
    <w:rsid w:val="00281849"/>
    <w:rsid w:val="00281891"/>
    <w:rsid w:val="00282597"/>
    <w:rsid w:val="002829B0"/>
    <w:rsid w:val="00282A2D"/>
    <w:rsid w:val="00282ED9"/>
    <w:rsid w:val="00290452"/>
    <w:rsid w:val="002908A4"/>
    <w:rsid w:val="00291541"/>
    <w:rsid w:val="00291748"/>
    <w:rsid w:val="002918E5"/>
    <w:rsid w:val="00291A95"/>
    <w:rsid w:val="00291E6F"/>
    <w:rsid w:val="00292097"/>
    <w:rsid w:val="0029265A"/>
    <w:rsid w:val="0029362C"/>
    <w:rsid w:val="002945B9"/>
    <w:rsid w:val="00295861"/>
    <w:rsid w:val="00296AB5"/>
    <w:rsid w:val="00296D3C"/>
    <w:rsid w:val="00296D4E"/>
    <w:rsid w:val="002A001C"/>
    <w:rsid w:val="002A06B9"/>
    <w:rsid w:val="002A0A3E"/>
    <w:rsid w:val="002A2B39"/>
    <w:rsid w:val="002A32CB"/>
    <w:rsid w:val="002A33B5"/>
    <w:rsid w:val="002A3EE1"/>
    <w:rsid w:val="002A4F74"/>
    <w:rsid w:val="002A5642"/>
    <w:rsid w:val="002A5A7F"/>
    <w:rsid w:val="002A5E5F"/>
    <w:rsid w:val="002B0336"/>
    <w:rsid w:val="002B06D5"/>
    <w:rsid w:val="002B1C52"/>
    <w:rsid w:val="002B1CE7"/>
    <w:rsid w:val="002B262C"/>
    <w:rsid w:val="002B3F98"/>
    <w:rsid w:val="002B4052"/>
    <w:rsid w:val="002B4C58"/>
    <w:rsid w:val="002B6B85"/>
    <w:rsid w:val="002C03A8"/>
    <w:rsid w:val="002C0A9D"/>
    <w:rsid w:val="002C1478"/>
    <w:rsid w:val="002C14AA"/>
    <w:rsid w:val="002C1F5E"/>
    <w:rsid w:val="002C22D6"/>
    <w:rsid w:val="002C286D"/>
    <w:rsid w:val="002C2DD6"/>
    <w:rsid w:val="002C302E"/>
    <w:rsid w:val="002C414E"/>
    <w:rsid w:val="002C438C"/>
    <w:rsid w:val="002C55DE"/>
    <w:rsid w:val="002C5B91"/>
    <w:rsid w:val="002C5DD9"/>
    <w:rsid w:val="002C5EC1"/>
    <w:rsid w:val="002C5F78"/>
    <w:rsid w:val="002C6142"/>
    <w:rsid w:val="002C6716"/>
    <w:rsid w:val="002C6B12"/>
    <w:rsid w:val="002C72BE"/>
    <w:rsid w:val="002C7569"/>
    <w:rsid w:val="002C7716"/>
    <w:rsid w:val="002C7BF8"/>
    <w:rsid w:val="002C7CC9"/>
    <w:rsid w:val="002D0699"/>
    <w:rsid w:val="002D09DB"/>
    <w:rsid w:val="002D23C7"/>
    <w:rsid w:val="002D2D84"/>
    <w:rsid w:val="002D2D9D"/>
    <w:rsid w:val="002D351C"/>
    <w:rsid w:val="002D3A81"/>
    <w:rsid w:val="002D3AA9"/>
    <w:rsid w:val="002D3EA2"/>
    <w:rsid w:val="002D47FC"/>
    <w:rsid w:val="002D4F9D"/>
    <w:rsid w:val="002D5DC0"/>
    <w:rsid w:val="002D601E"/>
    <w:rsid w:val="002D6030"/>
    <w:rsid w:val="002D68AB"/>
    <w:rsid w:val="002D6B01"/>
    <w:rsid w:val="002D70B8"/>
    <w:rsid w:val="002E0502"/>
    <w:rsid w:val="002E0CDF"/>
    <w:rsid w:val="002E2BAD"/>
    <w:rsid w:val="002E32E2"/>
    <w:rsid w:val="002E394A"/>
    <w:rsid w:val="002E3D60"/>
    <w:rsid w:val="002E59DF"/>
    <w:rsid w:val="002E5A3F"/>
    <w:rsid w:val="002E7E8D"/>
    <w:rsid w:val="002F1723"/>
    <w:rsid w:val="002F1E30"/>
    <w:rsid w:val="002F2A35"/>
    <w:rsid w:val="002F2D43"/>
    <w:rsid w:val="002F2EE2"/>
    <w:rsid w:val="002F37E2"/>
    <w:rsid w:val="002F447F"/>
    <w:rsid w:val="002F5E9D"/>
    <w:rsid w:val="002F65EA"/>
    <w:rsid w:val="002F71C7"/>
    <w:rsid w:val="002F73CD"/>
    <w:rsid w:val="002F7417"/>
    <w:rsid w:val="002F7949"/>
    <w:rsid w:val="002F7A27"/>
    <w:rsid w:val="00300805"/>
    <w:rsid w:val="00300BF5"/>
    <w:rsid w:val="00300E6D"/>
    <w:rsid w:val="00302FA6"/>
    <w:rsid w:val="003034EB"/>
    <w:rsid w:val="00304A4B"/>
    <w:rsid w:val="00304F0B"/>
    <w:rsid w:val="0030599A"/>
    <w:rsid w:val="00305A61"/>
    <w:rsid w:val="0030678C"/>
    <w:rsid w:val="00306C2A"/>
    <w:rsid w:val="00307B69"/>
    <w:rsid w:val="0031039C"/>
    <w:rsid w:val="0031080E"/>
    <w:rsid w:val="00312BE1"/>
    <w:rsid w:val="00312F35"/>
    <w:rsid w:val="00313066"/>
    <w:rsid w:val="00314810"/>
    <w:rsid w:val="00314B6B"/>
    <w:rsid w:val="00316546"/>
    <w:rsid w:val="003170F8"/>
    <w:rsid w:val="00320E77"/>
    <w:rsid w:val="00322519"/>
    <w:rsid w:val="0032348A"/>
    <w:rsid w:val="00323772"/>
    <w:rsid w:val="003237F9"/>
    <w:rsid w:val="0032455B"/>
    <w:rsid w:val="0032504F"/>
    <w:rsid w:val="003251C3"/>
    <w:rsid w:val="003252E5"/>
    <w:rsid w:val="0032666E"/>
    <w:rsid w:val="00326DC6"/>
    <w:rsid w:val="003276A3"/>
    <w:rsid w:val="00327BF9"/>
    <w:rsid w:val="00331401"/>
    <w:rsid w:val="00332617"/>
    <w:rsid w:val="003328D5"/>
    <w:rsid w:val="00332C8F"/>
    <w:rsid w:val="003333FE"/>
    <w:rsid w:val="00334610"/>
    <w:rsid w:val="00334CC5"/>
    <w:rsid w:val="003350AC"/>
    <w:rsid w:val="00335280"/>
    <w:rsid w:val="00335457"/>
    <w:rsid w:val="003355F4"/>
    <w:rsid w:val="00335790"/>
    <w:rsid w:val="00335FE7"/>
    <w:rsid w:val="00336E34"/>
    <w:rsid w:val="00336FD9"/>
    <w:rsid w:val="00337057"/>
    <w:rsid w:val="00341316"/>
    <w:rsid w:val="00341677"/>
    <w:rsid w:val="003416A4"/>
    <w:rsid w:val="003422B3"/>
    <w:rsid w:val="0034263B"/>
    <w:rsid w:val="00343336"/>
    <w:rsid w:val="003436EF"/>
    <w:rsid w:val="00344A01"/>
    <w:rsid w:val="00345842"/>
    <w:rsid w:val="00345E6B"/>
    <w:rsid w:val="00346BC2"/>
    <w:rsid w:val="003477FC"/>
    <w:rsid w:val="00347830"/>
    <w:rsid w:val="00347854"/>
    <w:rsid w:val="00347908"/>
    <w:rsid w:val="003504E2"/>
    <w:rsid w:val="00350BBA"/>
    <w:rsid w:val="003522B4"/>
    <w:rsid w:val="00352AB8"/>
    <w:rsid w:val="00354D81"/>
    <w:rsid w:val="00354DE5"/>
    <w:rsid w:val="00355BA5"/>
    <w:rsid w:val="00356233"/>
    <w:rsid w:val="00356E7D"/>
    <w:rsid w:val="0035791E"/>
    <w:rsid w:val="003606A7"/>
    <w:rsid w:val="0036088C"/>
    <w:rsid w:val="00360ACA"/>
    <w:rsid w:val="00361853"/>
    <w:rsid w:val="003621F2"/>
    <w:rsid w:val="003641B3"/>
    <w:rsid w:val="00364520"/>
    <w:rsid w:val="0036585F"/>
    <w:rsid w:val="00365F77"/>
    <w:rsid w:val="0036784E"/>
    <w:rsid w:val="003706FC"/>
    <w:rsid w:val="00371EB3"/>
    <w:rsid w:val="003733DB"/>
    <w:rsid w:val="003737AF"/>
    <w:rsid w:val="00373C32"/>
    <w:rsid w:val="00373FB6"/>
    <w:rsid w:val="00374C52"/>
    <w:rsid w:val="00375A8C"/>
    <w:rsid w:val="00375AEA"/>
    <w:rsid w:val="00375D0E"/>
    <w:rsid w:val="00375FCD"/>
    <w:rsid w:val="00376A02"/>
    <w:rsid w:val="00377083"/>
    <w:rsid w:val="0037717B"/>
    <w:rsid w:val="0037731D"/>
    <w:rsid w:val="00377655"/>
    <w:rsid w:val="00377744"/>
    <w:rsid w:val="003779DE"/>
    <w:rsid w:val="00377C4C"/>
    <w:rsid w:val="00377F76"/>
    <w:rsid w:val="003816CB"/>
    <w:rsid w:val="00382A5B"/>
    <w:rsid w:val="00382D12"/>
    <w:rsid w:val="00382E4F"/>
    <w:rsid w:val="003830B9"/>
    <w:rsid w:val="00384CA7"/>
    <w:rsid w:val="00385237"/>
    <w:rsid w:val="0038624E"/>
    <w:rsid w:val="00387FB7"/>
    <w:rsid w:val="0039082F"/>
    <w:rsid w:val="00390F95"/>
    <w:rsid w:val="003920F3"/>
    <w:rsid w:val="00392720"/>
    <w:rsid w:val="003927B6"/>
    <w:rsid w:val="00392920"/>
    <w:rsid w:val="00392CBD"/>
    <w:rsid w:val="003934A0"/>
    <w:rsid w:val="00393BD9"/>
    <w:rsid w:val="003945D0"/>
    <w:rsid w:val="00394A7F"/>
    <w:rsid w:val="00395E65"/>
    <w:rsid w:val="00395E93"/>
    <w:rsid w:val="003966E7"/>
    <w:rsid w:val="0039686D"/>
    <w:rsid w:val="0039687E"/>
    <w:rsid w:val="00397014"/>
    <w:rsid w:val="0039777E"/>
    <w:rsid w:val="00397C70"/>
    <w:rsid w:val="00397F47"/>
    <w:rsid w:val="003A0B69"/>
    <w:rsid w:val="003A0DF6"/>
    <w:rsid w:val="003A13A3"/>
    <w:rsid w:val="003A1624"/>
    <w:rsid w:val="003A16A2"/>
    <w:rsid w:val="003A1DDD"/>
    <w:rsid w:val="003A288B"/>
    <w:rsid w:val="003A2F0C"/>
    <w:rsid w:val="003A323E"/>
    <w:rsid w:val="003A3DAA"/>
    <w:rsid w:val="003A401C"/>
    <w:rsid w:val="003A4602"/>
    <w:rsid w:val="003A468E"/>
    <w:rsid w:val="003A5BE9"/>
    <w:rsid w:val="003A613B"/>
    <w:rsid w:val="003A6A94"/>
    <w:rsid w:val="003A7D61"/>
    <w:rsid w:val="003B18B4"/>
    <w:rsid w:val="003B1963"/>
    <w:rsid w:val="003B2E98"/>
    <w:rsid w:val="003B2EA2"/>
    <w:rsid w:val="003B351B"/>
    <w:rsid w:val="003B3B87"/>
    <w:rsid w:val="003B4A69"/>
    <w:rsid w:val="003B5BA3"/>
    <w:rsid w:val="003B67BF"/>
    <w:rsid w:val="003B7180"/>
    <w:rsid w:val="003B794F"/>
    <w:rsid w:val="003B7F14"/>
    <w:rsid w:val="003C13C4"/>
    <w:rsid w:val="003C1EB5"/>
    <w:rsid w:val="003C246D"/>
    <w:rsid w:val="003C2FA4"/>
    <w:rsid w:val="003C372A"/>
    <w:rsid w:val="003C594A"/>
    <w:rsid w:val="003C5B77"/>
    <w:rsid w:val="003C649C"/>
    <w:rsid w:val="003C76B2"/>
    <w:rsid w:val="003D0C7D"/>
    <w:rsid w:val="003D2705"/>
    <w:rsid w:val="003D2ADB"/>
    <w:rsid w:val="003D2E67"/>
    <w:rsid w:val="003D35C7"/>
    <w:rsid w:val="003D3D11"/>
    <w:rsid w:val="003D445A"/>
    <w:rsid w:val="003D5EDD"/>
    <w:rsid w:val="003D64CC"/>
    <w:rsid w:val="003D6ADB"/>
    <w:rsid w:val="003D7317"/>
    <w:rsid w:val="003D7AF1"/>
    <w:rsid w:val="003E067D"/>
    <w:rsid w:val="003E12CF"/>
    <w:rsid w:val="003E1CAE"/>
    <w:rsid w:val="003E2023"/>
    <w:rsid w:val="003E2599"/>
    <w:rsid w:val="003E2ECB"/>
    <w:rsid w:val="003E39B8"/>
    <w:rsid w:val="003E3E7D"/>
    <w:rsid w:val="003E3FF6"/>
    <w:rsid w:val="003E4B7E"/>
    <w:rsid w:val="003E60C9"/>
    <w:rsid w:val="003E7145"/>
    <w:rsid w:val="003E74BD"/>
    <w:rsid w:val="003F147A"/>
    <w:rsid w:val="003F1D3D"/>
    <w:rsid w:val="003F1F8F"/>
    <w:rsid w:val="003F261D"/>
    <w:rsid w:val="003F2A08"/>
    <w:rsid w:val="003F2A56"/>
    <w:rsid w:val="003F366E"/>
    <w:rsid w:val="003F43CC"/>
    <w:rsid w:val="003F4DE0"/>
    <w:rsid w:val="003F5785"/>
    <w:rsid w:val="003F6DC2"/>
    <w:rsid w:val="003F7202"/>
    <w:rsid w:val="00400938"/>
    <w:rsid w:val="00400E8C"/>
    <w:rsid w:val="0040100A"/>
    <w:rsid w:val="00403733"/>
    <w:rsid w:val="00403A19"/>
    <w:rsid w:val="00403B1C"/>
    <w:rsid w:val="004043BC"/>
    <w:rsid w:val="00404628"/>
    <w:rsid w:val="00405654"/>
    <w:rsid w:val="0040702E"/>
    <w:rsid w:val="00407EC9"/>
    <w:rsid w:val="00411B9F"/>
    <w:rsid w:val="00411C3B"/>
    <w:rsid w:val="0041264A"/>
    <w:rsid w:val="004129B4"/>
    <w:rsid w:val="00412C32"/>
    <w:rsid w:val="004131FC"/>
    <w:rsid w:val="0041370B"/>
    <w:rsid w:val="00414133"/>
    <w:rsid w:val="004149BF"/>
    <w:rsid w:val="00414A93"/>
    <w:rsid w:val="00414D28"/>
    <w:rsid w:val="004157EE"/>
    <w:rsid w:val="0041594A"/>
    <w:rsid w:val="00416727"/>
    <w:rsid w:val="00416BFC"/>
    <w:rsid w:val="00416C36"/>
    <w:rsid w:val="00416FDB"/>
    <w:rsid w:val="004171CF"/>
    <w:rsid w:val="0041737D"/>
    <w:rsid w:val="0041799B"/>
    <w:rsid w:val="00417BF0"/>
    <w:rsid w:val="00417C94"/>
    <w:rsid w:val="00420864"/>
    <w:rsid w:val="004213A7"/>
    <w:rsid w:val="00421691"/>
    <w:rsid w:val="00421ACE"/>
    <w:rsid w:val="00421CBF"/>
    <w:rsid w:val="00422866"/>
    <w:rsid w:val="00422DAA"/>
    <w:rsid w:val="0042318B"/>
    <w:rsid w:val="0042430F"/>
    <w:rsid w:val="004248B9"/>
    <w:rsid w:val="00425111"/>
    <w:rsid w:val="00425D85"/>
    <w:rsid w:val="0042705F"/>
    <w:rsid w:val="004271AB"/>
    <w:rsid w:val="00430A7A"/>
    <w:rsid w:val="00430A99"/>
    <w:rsid w:val="00430E87"/>
    <w:rsid w:val="00431032"/>
    <w:rsid w:val="0043199E"/>
    <w:rsid w:val="00431C99"/>
    <w:rsid w:val="004331DD"/>
    <w:rsid w:val="004333FE"/>
    <w:rsid w:val="00433654"/>
    <w:rsid w:val="00433AE6"/>
    <w:rsid w:val="00433E20"/>
    <w:rsid w:val="004356C6"/>
    <w:rsid w:val="00435894"/>
    <w:rsid w:val="00435BA9"/>
    <w:rsid w:val="0043740C"/>
    <w:rsid w:val="00437B0C"/>
    <w:rsid w:val="00441C7C"/>
    <w:rsid w:val="004421B5"/>
    <w:rsid w:val="00442408"/>
    <w:rsid w:val="004430FB"/>
    <w:rsid w:val="0044390D"/>
    <w:rsid w:val="00443E08"/>
    <w:rsid w:val="004451DE"/>
    <w:rsid w:val="004459A1"/>
    <w:rsid w:val="00446D63"/>
    <w:rsid w:val="00446EA5"/>
    <w:rsid w:val="00447F2E"/>
    <w:rsid w:val="00450CFF"/>
    <w:rsid w:val="00451214"/>
    <w:rsid w:val="00451AE7"/>
    <w:rsid w:val="00453939"/>
    <w:rsid w:val="00453D7D"/>
    <w:rsid w:val="004541E6"/>
    <w:rsid w:val="00454421"/>
    <w:rsid w:val="00454D43"/>
    <w:rsid w:val="00454E88"/>
    <w:rsid w:val="004556EC"/>
    <w:rsid w:val="00455E31"/>
    <w:rsid w:val="004565DE"/>
    <w:rsid w:val="00456A45"/>
    <w:rsid w:val="00456ACF"/>
    <w:rsid w:val="00457F3A"/>
    <w:rsid w:val="004604D1"/>
    <w:rsid w:val="004607BC"/>
    <w:rsid w:val="00461340"/>
    <w:rsid w:val="00461B9E"/>
    <w:rsid w:val="00462877"/>
    <w:rsid w:val="00463770"/>
    <w:rsid w:val="00464039"/>
    <w:rsid w:val="00464088"/>
    <w:rsid w:val="004640B9"/>
    <w:rsid w:val="004641EE"/>
    <w:rsid w:val="00464508"/>
    <w:rsid w:val="00464B7E"/>
    <w:rsid w:val="004666CE"/>
    <w:rsid w:val="00466EF2"/>
    <w:rsid w:val="00467B7B"/>
    <w:rsid w:val="00470BCF"/>
    <w:rsid w:val="00470E74"/>
    <w:rsid w:val="00470F71"/>
    <w:rsid w:val="0047112B"/>
    <w:rsid w:val="0047114D"/>
    <w:rsid w:val="00471F68"/>
    <w:rsid w:val="00472BD2"/>
    <w:rsid w:val="004730F9"/>
    <w:rsid w:val="004739DD"/>
    <w:rsid w:val="00473F63"/>
    <w:rsid w:val="00475569"/>
    <w:rsid w:val="00475640"/>
    <w:rsid w:val="00475FC7"/>
    <w:rsid w:val="0047767E"/>
    <w:rsid w:val="00477C1A"/>
    <w:rsid w:val="00480DAC"/>
    <w:rsid w:val="004820FC"/>
    <w:rsid w:val="00482893"/>
    <w:rsid w:val="004835AA"/>
    <w:rsid w:val="00484484"/>
    <w:rsid w:val="004845EF"/>
    <w:rsid w:val="004859BB"/>
    <w:rsid w:val="00486183"/>
    <w:rsid w:val="00486643"/>
    <w:rsid w:val="00486C70"/>
    <w:rsid w:val="004879A0"/>
    <w:rsid w:val="00487D44"/>
    <w:rsid w:val="00490851"/>
    <w:rsid w:val="00490B47"/>
    <w:rsid w:val="00491578"/>
    <w:rsid w:val="0049221E"/>
    <w:rsid w:val="004922B0"/>
    <w:rsid w:val="004922FB"/>
    <w:rsid w:val="0049275B"/>
    <w:rsid w:val="004936C5"/>
    <w:rsid w:val="00493B9A"/>
    <w:rsid w:val="0049483F"/>
    <w:rsid w:val="00495322"/>
    <w:rsid w:val="00495387"/>
    <w:rsid w:val="0049599E"/>
    <w:rsid w:val="00495AA0"/>
    <w:rsid w:val="00495D4C"/>
    <w:rsid w:val="00495F21"/>
    <w:rsid w:val="0049604E"/>
    <w:rsid w:val="0049608F"/>
    <w:rsid w:val="00496BB3"/>
    <w:rsid w:val="00497080"/>
    <w:rsid w:val="004A066E"/>
    <w:rsid w:val="004A0E21"/>
    <w:rsid w:val="004A21F9"/>
    <w:rsid w:val="004A227E"/>
    <w:rsid w:val="004A3B55"/>
    <w:rsid w:val="004A51C1"/>
    <w:rsid w:val="004A58F1"/>
    <w:rsid w:val="004A5CDD"/>
    <w:rsid w:val="004A5D6B"/>
    <w:rsid w:val="004A6E4D"/>
    <w:rsid w:val="004A6F6F"/>
    <w:rsid w:val="004A7201"/>
    <w:rsid w:val="004A7777"/>
    <w:rsid w:val="004A7C44"/>
    <w:rsid w:val="004A7EDF"/>
    <w:rsid w:val="004B0FD3"/>
    <w:rsid w:val="004B11B3"/>
    <w:rsid w:val="004B1605"/>
    <w:rsid w:val="004B21F0"/>
    <w:rsid w:val="004B384D"/>
    <w:rsid w:val="004B4425"/>
    <w:rsid w:val="004B5DC3"/>
    <w:rsid w:val="004B6A36"/>
    <w:rsid w:val="004B739E"/>
    <w:rsid w:val="004B7833"/>
    <w:rsid w:val="004B78E6"/>
    <w:rsid w:val="004C0483"/>
    <w:rsid w:val="004C10FA"/>
    <w:rsid w:val="004C1184"/>
    <w:rsid w:val="004C2511"/>
    <w:rsid w:val="004C27F0"/>
    <w:rsid w:val="004C35BD"/>
    <w:rsid w:val="004C3695"/>
    <w:rsid w:val="004C393D"/>
    <w:rsid w:val="004C4297"/>
    <w:rsid w:val="004C44A8"/>
    <w:rsid w:val="004C4667"/>
    <w:rsid w:val="004C481B"/>
    <w:rsid w:val="004C4D37"/>
    <w:rsid w:val="004C568C"/>
    <w:rsid w:val="004C7184"/>
    <w:rsid w:val="004C7187"/>
    <w:rsid w:val="004C7B25"/>
    <w:rsid w:val="004D25E8"/>
    <w:rsid w:val="004D2650"/>
    <w:rsid w:val="004D2CC5"/>
    <w:rsid w:val="004D36AE"/>
    <w:rsid w:val="004D519F"/>
    <w:rsid w:val="004D57A0"/>
    <w:rsid w:val="004D60A5"/>
    <w:rsid w:val="004D641D"/>
    <w:rsid w:val="004D6DE1"/>
    <w:rsid w:val="004D7547"/>
    <w:rsid w:val="004D76AC"/>
    <w:rsid w:val="004E19BF"/>
    <w:rsid w:val="004E1AA0"/>
    <w:rsid w:val="004E1C73"/>
    <w:rsid w:val="004E1C75"/>
    <w:rsid w:val="004E2B7D"/>
    <w:rsid w:val="004E2F4B"/>
    <w:rsid w:val="004E2FD4"/>
    <w:rsid w:val="004E3707"/>
    <w:rsid w:val="004E391E"/>
    <w:rsid w:val="004E3BE6"/>
    <w:rsid w:val="004E421C"/>
    <w:rsid w:val="004E44DF"/>
    <w:rsid w:val="004E5AC6"/>
    <w:rsid w:val="004E5D3B"/>
    <w:rsid w:val="004E6153"/>
    <w:rsid w:val="004E6A2A"/>
    <w:rsid w:val="004E6B67"/>
    <w:rsid w:val="004F0697"/>
    <w:rsid w:val="004F0966"/>
    <w:rsid w:val="004F0CBA"/>
    <w:rsid w:val="004F0EEB"/>
    <w:rsid w:val="004F1585"/>
    <w:rsid w:val="004F1626"/>
    <w:rsid w:val="004F1AA8"/>
    <w:rsid w:val="004F1B92"/>
    <w:rsid w:val="004F2416"/>
    <w:rsid w:val="004F2450"/>
    <w:rsid w:val="004F2830"/>
    <w:rsid w:val="004F3012"/>
    <w:rsid w:val="004F3929"/>
    <w:rsid w:val="004F47CF"/>
    <w:rsid w:val="004F4AB0"/>
    <w:rsid w:val="004F51E1"/>
    <w:rsid w:val="004F618A"/>
    <w:rsid w:val="004F68D9"/>
    <w:rsid w:val="004F773D"/>
    <w:rsid w:val="004F7B50"/>
    <w:rsid w:val="004F7F85"/>
    <w:rsid w:val="005001C1"/>
    <w:rsid w:val="005009D8"/>
    <w:rsid w:val="00502E63"/>
    <w:rsid w:val="00503E0D"/>
    <w:rsid w:val="00503F5B"/>
    <w:rsid w:val="0050407A"/>
    <w:rsid w:val="005055CE"/>
    <w:rsid w:val="00507298"/>
    <w:rsid w:val="0050748A"/>
    <w:rsid w:val="00507E5C"/>
    <w:rsid w:val="00510F28"/>
    <w:rsid w:val="00511135"/>
    <w:rsid w:val="00512844"/>
    <w:rsid w:val="00512BAB"/>
    <w:rsid w:val="005133A7"/>
    <w:rsid w:val="0051349D"/>
    <w:rsid w:val="005136A0"/>
    <w:rsid w:val="005139AD"/>
    <w:rsid w:val="0051412A"/>
    <w:rsid w:val="00514ED5"/>
    <w:rsid w:val="005167ED"/>
    <w:rsid w:val="00516E86"/>
    <w:rsid w:val="005171C0"/>
    <w:rsid w:val="0051722B"/>
    <w:rsid w:val="00517D13"/>
    <w:rsid w:val="00517F1E"/>
    <w:rsid w:val="00520001"/>
    <w:rsid w:val="005214A6"/>
    <w:rsid w:val="00521DE1"/>
    <w:rsid w:val="00521E0D"/>
    <w:rsid w:val="00522707"/>
    <w:rsid w:val="00523222"/>
    <w:rsid w:val="00523396"/>
    <w:rsid w:val="00523BD0"/>
    <w:rsid w:val="0052470D"/>
    <w:rsid w:val="00524EBA"/>
    <w:rsid w:val="0052517B"/>
    <w:rsid w:val="0052522D"/>
    <w:rsid w:val="005252CF"/>
    <w:rsid w:val="0052535F"/>
    <w:rsid w:val="00525400"/>
    <w:rsid w:val="00526205"/>
    <w:rsid w:val="00526B2C"/>
    <w:rsid w:val="00526DC6"/>
    <w:rsid w:val="005270F6"/>
    <w:rsid w:val="005270F8"/>
    <w:rsid w:val="00527A56"/>
    <w:rsid w:val="005300AA"/>
    <w:rsid w:val="00530954"/>
    <w:rsid w:val="0053096B"/>
    <w:rsid w:val="005313E1"/>
    <w:rsid w:val="005334A6"/>
    <w:rsid w:val="00533784"/>
    <w:rsid w:val="0053487E"/>
    <w:rsid w:val="00534E2A"/>
    <w:rsid w:val="00535186"/>
    <w:rsid w:val="00535347"/>
    <w:rsid w:val="005356A2"/>
    <w:rsid w:val="005358D1"/>
    <w:rsid w:val="00536473"/>
    <w:rsid w:val="00537029"/>
    <w:rsid w:val="00537E04"/>
    <w:rsid w:val="00540263"/>
    <w:rsid w:val="0054038F"/>
    <w:rsid w:val="005428C4"/>
    <w:rsid w:val="00542F1F"/>
    <w:rsid w:val="00542F8E"/>
    <w:rsid w:val="005443DF"/>
    <w:rsid w:val="005444B3"/>
    <w:rsid w:val="00544959"/>
    <w:rsid w:val="005453B2"/>
    <w:rsid w:val="0054561B"/>
    <w:rsid w:val="0054561E"/>
    <w:rsid w:val="0054562B"/>
    <w:rsid w:val="005458D0"/>
    <w:rsid w:val="00545B48"/>
    <w:rsid w:val="00546B22"/>
    <w:rsid w:val="00546E4A"/>
    <w:rsid w:val="00547AD8"/>
    <w:rsid w:val="00550741"/>
    <w:rsid w:val="00551DA9"/>
    <w:rsid w:val="005526AF"/>
    <w:rsid w:val="005532F9"/>
    <w:rsid w:val="0055420F"/>
    <w:rsid w:val="00555F16"/>
    <w:rsid w:val="00556A24"/>
    <w:rsid w:val="00556E3A"/>
    <w:rsid w:val="00557A81"/>
    <w:rsid w:val="00557D30"/>
    <w:rsid w:val="0056272D"/>
    <w:rsid w:val="005627F7"/>
    <w:rsid w:val="00563C6F"/>
    <w:rsid w:val="0056432E"/>
    <w:rsid w:val="00564F4D"/>
    <w:rsid w:val="00565B8F"/>
    <w:rsid w:val="00565E80"/>
    <w:rsid w:val="00565F06"/>
    <w:rsid w:val="00566326"/>
    <w:rsid w:val="0056776D"/>
    <w:rsid w:val="00567BB9"/>
    <w:rsid w:val="00567F7B"/>
    <w:rsid w:val="00570977"/>
    <w:rsid w:val="00570C0B"/>
    <w:rsid w:val="005715DC"/>
    <w:rsid w:val="00571F5A"/>
    <w:rsid w:val="005722F6"/>
    <w:rsid w:val="005728F3"/>
    <w:rsid w:val="0057294E"/>
    <w:rsid w:val="00572C19"/>
    <w:rsid w:val="00573AF5"/>
    <w:rsid w:val="0057445A"/>
    <w:rsid w:val="00574EE4"/>
    <w:rsid w:val="00576D20"/>
    <w:rsid w:val="005772A8"/>
    <w:rsid w:val="00580D6D"/>
    <w:rsid w:val="00581421"/>
    <w:rsid w:val="005816E0"/>
    <w:rsid w:val="0058227E"/>
    <w:rsid w:val="005825D5"/>
    <w:rsid w:val="0058268D"/>
    <w:rsid w:val="00582F49"/>
    <w:rsid w:val="005831B0"/>
    <w:rsid w:val="0058408C"/>
    <w:rsid w:val="005849D5"/>
    <w:rsid w:val="00585AE0"/>
    <w:rsid w:val="00586B17"/>
    <w:rsid w:val="005900FD"/>
    <w:rsid w:val="0059019F"/>
    <w:rsid w:val="005908CB"/>
    <w:rsid w:val="00591852"/>
    <w:rsid w:val="00591870"/>
    <w:rsid w:val="00591AF6"/>
    <w:rsid w:val="00591DF2"/>
    <w:rsid w:val="00592143"/>
    <w:rsid w:val="005922EF"/>
    <w:rsid w:val="00592800"/>
    <w:rsid w:val="00592AE6"/>
    <w:rsid w:val="0059443C"/>
    <w:rsid w:val="0059482F"/>
    <w:rsid w:val="005949FC"/>
    <w:rsid w:val="005958C4"/>
    <w:rsid w:val="00596221"/>
    <w:rsid w:val="005971D9"/>
    <w:rsid w:val="005973CA"/>
    <w:rsid w:val="00597777"/>
    <w:rsid w:val="005A1955"/>
    <w:rsid w:val="005A197C"/>
    <w:rsid w:val="005A2BED"/>
    <w:rsid w:val="005A2EF2"/>
    <w:rsid w:val="005A3643"/>
    <w:rsid w:val="005A366E"/>
    <w:rsid w:val="005A398D"/>
    <w:rsid w:val="005A3E40"/>
    <w:rsid w:val="005A3E99"/>
    <w:rsid w:val="005A4C8F"/>
    <w:rsid w:val="005A4FE3"/>
    <w:rsid w:val="005A4FF3"/>
    <w:rsid w:val="005A52B3"/>
    <w:rsid w:val="005A5DD2"/>
    <w:rsid w:val="005B093F"/>
    <w:rsid w:val="005B0A27"/>
    <w:rsid w:val="005B0C9B"/>
    <w:rsid w:val="005B1192"/>
    <w:rsid w:val="005B13DC"/>
    <w:rsid w:val="005B1BCD"/>
    <w:rsid w:val="005B309C"/>
    <w:rsid w:val="005B3154"/>
    <w:rsid w:val="005B347E"/>
    <w:rsid w:val="005B490A"/>
    <w:rsid w:val="005B4ECB"/>
    <w:rsid w:val="005B4FD5"/>
    <w:rsid w:val="005B5602"/>
    <w:rsid w:val="005B63E1"/>
    <w:rsid w:val="005B6E97"/>
    <w:rsid w:val="005B7405"/>
    <w:rsid w:val="005B75AF"/>
    <w:rsid w:val="005B7735"/>
    <w:rsid w:val="005C24FA"/>
    <w:rsid w:val="005C3A0B"/>
    <w:rsid w:val="005C3FBE"/>
    <w:rsid w:val="005C463A"/>
    <w:rsid w:val="005C5741"/>
    <w:rsid w:val="005C7457"/>
    <w:rsid w:val="005C7BA9"/>
    <w:rsid w:val="005D0381"/>
    <w:rsid w:val="005D0F22"/>
    <w:rsid w:val="005D1343"/>
    <w:rsid w:val="005D15C7"/>
    <w:rsid w:val="005D21BF"/>
    <w:rsid w:val="005D4337"/>
    <w:rsid w:val="005D4B75"/>
    <w:rsid w:val="005D540C"/>
    <w:rsid w:val="005D5DE1"/>
    <w:rsid w:val="005D64FA"/>
    <w:rsid w:val="005D6EFD"/>
    <w:rsid w:val="005D7D90"/>
    <w:rsid w:val="005E0FB9"/>
    <w:rsid w:val="005E17EB"/>
    <w:rsid w:val="005E1B45"/>
    <w:rsid w:val="005E1C75"/>
    <w:rsid w:val="005E2B62"/>
    <w:rsid w:val="005E3177"/>
    <w:rsid w:val="005E40E3"/>
    <w:rsid w:val="005E5BFA"/>
    <w:rsid w:val="005E5CF2"/>
    <w:rsid w:val="005E6579"/>
    <w:rsid w:val="005E6CBF"/>
    <w:rsid w:val="005E6FB2"/>
    <w:rsid w:val="005E7152"/>
    <w:rsid w:val="005E739D"/>
    <w:rsid w:val="005E76CA"/>
    <w:rsid w:val="005F0770"/>
    <w:rsid w:val="005F0E9E"/>
    <w:rsid w:val="005F1C03"/>
    <w:rsid w:val="005F2079"/>
    <w:rsid w:val="005F23BE"/>
    <w:rsid w:val="005F2892"/>
    <w:rsid w:val="005F292A"/>
    <w:rsid w:val="005F2CDF"/>
    <w:rsid w:val="005F37D4"/>
    <w:rsid w:val="005F46F4"/>
    <w:rsid w:val="005F49B1"/>
    <w:rsid w:val="005F4BD4"/>
    <w:rsid w:val="005F5DE7"/>
    <w:rsid w:val="005F641B"/>
    <w:rsid w:val="005F76A0"/>
    <w:rsid w:val="005F79EA"/>
    <w:rsid w:val="00600590"/>
    <w:rsid w:val="006010E8"/>
    <w:rsid w:val="00601241"/>
    <w:rsid w:val="00601DA9"/>
    <w:rsid w:val="00602A58"/>
    <w:rsid w:val="00602DFC"/>
    <w:rsid w:val="006030C7"/>
    <w:rsid w:val="006037A9"/>
    <w:rsid w:val="006038E2"/>
    <w:rsid w:val="00603C21"/>
    <w:rsid w:val="006050DD"/>
    <w:rsid w:val="006053C5"/>
    <w:rsid w:val="00605453"/>
    <w:rsid w:val="00607522"/>
    <w:rsid w:val="00607556"/>
    <w:rsid w:val="00607731"/>
    <w:rsid w:val="00607B8C"/>
    <w:rsid w:val="006118D2"/>
    <w:rsid w:val="00611BAC"/>
    <w:rsid w:val="00611D2D"/>
    <w:rsid w:val="006120EA"/>
    <w:rsid w:val="0061276A"/>
    <w:rsid w:val="00612C8A"/>
    <w:rsid w:val="0061305E"/>
    <w:rsid w:val="0061442F"/>
    <w:rsid w:val="00615D51"/>
    <w:rsid w:val="00615E2A"/>
    <w:rsid w:val="00616904"/>
    <w:rsid w:val="00617C07"/>
    <w:rsid w:val="0062013F"/>
    <w:rsid w:val="0062021E"/>
    <w:rsid w:val="00620E5D"/>
    <w:rsid w:val="006216E8"/>
    <w:rsid w:val="006217D4"/>
    <w:rsid w:val="006217F8"/>
    <w:rsid w:val="00621B46"/>
    <w:rsid w:val="0062245A"/>
    <w:rsid w:val="006230A6"/>
    <w:rsid w:val="00624AB1"/>
    <w:rsid w:val="00624F02"/>
    <w:rsid w:val="006257BD"/>
    <w:rsid w:val="006260C9"/>
    <w:rsid w:val="0062667B"/>
    <w:rsid w:val="00626C79"/>
    <w:rsid w:val="00626CAA"/>
    <w:rsid w:val="00627026"/>
    <w:rsid w:val="00627F7E"/>
    <w:rsid w:val="00627FBC"/>
    <w:rsid w:val="006303AD"/>
    <w:rsid w:val="0063068A"/>
    <w:rsid w:val="00630BF6"/>
    <w:rsid w:val="00631064"/>
    <w:rsid w:val="006318B9"/>
    <w:rsid w:val="0063195E"/>
    <w:rsid w:val="00632ECA"/>
    <w:rsid w:val="00633ADF"/>
    <w:rsid w:val="00634278"/>
    <w:rsid w:val="00634368"/>
    <w:rsid w:val="00634A6C"/>
    <w:rsid w:val="00634F1B"/>
    <w:rsid w:val="00634FCB"/>
    <w:rsid w:val="006350C8"/>
    <w:rsid w:val="0063510C"/>
    <w:rsid w:val="0063545D"/>
    <w:rsid w:val="00635949"/>
    <w:rsid w:val="00635C19"/>
    <w:rsid w:val="0063628A"/>
    <w:rsid w:val="0063638F"/>
    <w:rsid w:val="006363D4"/>
    <w:rsid w:val="0063690E"/>
    <w:rsid w:val="00636947"/>
    <w:rsid w:val="00636BC9"/>
    <w:rsid w:val="00637AD9"/>
    <w:rsid w:val="0064016D"/>
    <w:rsid w:val="0064069E"/>
    <w:rsid w:val="00640911"/>
    <w:rsid w:val="006413AA"/>
    <w:rsid w:val="00641540"/>
    <w:rsid w:val="00641672"/>
    <w:rsid w:val="00641759"/>
    <w:rsid w:val="006417BB"/>
    <w:rsid w:val="0064264F"/>
    <w:rsid w:val="00644118"/>
    <w:rsid w:val="006442AA"/>
    <w:rsid w:val="006450E8"/>
    <w:rsid w:val="00645A34"/>
    <w:rsid w:val="006464C4"/>
    <w:rsid w:val="00646C97"/>
    <w:rsid w:val="00646D62"/>
    <w:rsid w:val="0065129D"/>
    <w:rsid w:val="006527C8"/>
    <w:rsid w:val="006527E4"/>
    <w:rsid w:val="00653DD5"/>
    <w:rsid w:val="0065408C"/>
    <w:rsid w:val="00654104"/>
    <w:rsid w:val="00654349"/>
    <w:rsid w:val="00654536"/>
    <w:rsid w:val="00655A3C"/>
    <w:rsid w:val="00655CBC"/>
    <w:rsid w:val="0065731E"/>
    <w:rsid w:val="006576F5"/>
    <w:rsid w:val="00660103"/>
    <w:rsid w:val="00661663"/>
    <w:rsid w:val="00661E24"/>
    <w:rsid w:val="00662367"/>
    <w:rsid w:val="00662534"/>
    <w:rsid w:val="00662FFE"/>
    <w:rsid w:val="00664038"/>
    <w:rsid w:val="00664B16"/>
    <w:rsid w:val="006659BB"/>
    <w:rsid w:val="00665BC3"/>
    <w:rsid w:val="00665FF3"/>
    <w:rsid w:val="00667B15"/>
    <w:rsid w:val="00670163"/>
    <w:rsid w:val="00670CFB"/>
    <w:rsid w:val="00670EA5"/>
    <w:rsid w:val="006718D7"/>
    <w:rsid w:val="006722DD"/>
    <w:rsid w:val="0067267A"/>
    <w:rsid w:val="0067393D"/>
    <w:rsid w:val="00674165"/>
    <w:rsid w:val="0067431B"/>
    <w:rsid w:val="00674E3A"/>
    <w:rsid w:val="00676F89"/>
    <w:rsid w:val="00676FFE"/>
    <w:rsid w:val="006779BF"/>
    <w:rsid w:val="00677C40"/>
    <w:rsid w:val="00677EEE"/>
    <w:rsid w:val="00680741"/>
    <w:rsid w:val="00681935"/>
    <w:rsid w:val="00682C45"/>
    <w:rsid w:val="00682E6F"/>
    <w:rsid w:val="00684001"/>
    <w:rsid w:val="0068487D"/>
    <w:rsid w:val="006852C7"/>
    <w:rsid w:val="00685758"/>
    <w:rsid w:val="0068609B"/>
    <w:rsid w:val="0068671C"/>
    <w:rsid w:val="00686E4A"/>
    <w:rsid w:val="00690542"/>
    <w:rsid w:val="006920FB"/>
    <w:rsid w:val="006926AB"/>
    <w:rsid w:val="00693764"/>
    <w:rsid w:val="006941C7"/>
    <w:rsid w:val="0069528C"/>
    <w:rsid w:val="00695F40"/>
    <w:rsid w:val="0069610B"/>
    <w:rsid w:val="00696A9B"/>
    <w:rsid w:val="00696E12"/>
    <w:rsid w:val="00697EDB"/>
    <w:rsid w:val="006A0121"/>
    <w:rsid w:val="006A0196"/>
    <w:rsid w:val="006A0393"/>
    <w:rsid w:val="006A058E"/>
    <w:rsid w:val="006A0D1D"/>
    <w:rsid w:val="006A22D0"/>
    <w:rsid w:val="006A2F22"/>
    <w:rsid w:val="006A3214"/>
    <w:rsid w:val="006A3FB1"/>
    <w:rsid w:val="006A4AC0"/>
    <w:rsid w:val="006A4D8C"/>
    <w:rsid w:val="006A589E"/>
    <w:rsid w:val="006A5928"/>
    <w:rsid w:val="006A5AB8"/>
    <w:rsid w:val="006A645A"/>
    <w:rsid w:val="006A6BB9"/>
    <w:rsid w:val="006A734A"/>
    <w:rsid w:val="006A79F0"/>
    <w:rsid w:val="006B0131"/>
    <w:rsid w:val="006B0C6D"/>
    <w:rsid w:val="006B0CA4"/>
    <w:rsid w:val="006B0DAD"/>
    <w:rsid w:val="006B1141"/>
    <w:rsid w:val="006B1F60"/>
    <w:rsid w:val="006B329D"/>
    <w:rsid w:val="006B3A41"/>
    <w:rsid w:val="006B3F86"/>
    <w:rsid w:val="006B3F90"/>
    <w:rsid w:val="006B4253"/>
    <w:rsid w:val="006B43B1"/>
    <w:rsid w:val="006B45A5"/>
    <w:rsid w:val="006B5504"/>
    <w:rsid w:val="006B6BB8"/>
    <w:rsid w:val="006B7E9A"/>
    <w:rsid w:val="006C094E"/>
    <w:rsid w:val="006C0BEE"/>
    <w:rsid w:val="006C16E7"/>
    <w:rsid w:val="006C1836"/>
    <w:rsid w:val="006C468C"/>
    <w:rsid w:val="006C655A"/>
    <w:rsid w:val="006C67A5"/>
    <w:rsid w:val="006C759D"/>
    <w:rsid w:val="006C77F0"/>
    <w:rsid w:val="006C7811"/>
    <w:rsid w:val="006C78F4"/>
    <w:rsid w:val="006C7B99"/>
    <w:rsid w:val="006D0052"/>
    <w:rsid w:val="006D2A1E"/>
    <w:rsid w:val="006D3041"/>
    <w:rsid w:val="006D422B"/>
    <w:rsid w:val="006D48DD"/>
    <w:rsid w:val="006D4BD5"/>
    <w:rsid w:val="006D51E3"/>
    <w:rsid w:val="006D5DA0"/>
    <w:rsid w:val="006D60ED"/>
    <w:rsid w:val="006D61CF"/>
    <w:rsid w:val="006D70CA"/>
    <w:rsid w:val="006D764E"/>
    <w:rsid w:val="006D7A0D"/>
    <w:rsid w:val="006D7F31"/>
    <w:rsid w:val="006E0295"/>
    <w:rsid w:val="006E0848"/>
    <w:rsid w:val="006E12C9"/>
    <w:rsid w:val="006E1493"/>
    <w:rsid w:val="006E1722"/>
    <w:rsid w:val="006E1F2C"/>
    <w:rsid w:val="006E1F3C"/>
    <w:rsid w:val="006E2E25"/>
    <w:rsid w:val="006E2FD1"/>
    <w:rsid w:val="006E3F45"/>
    <w:rsid w:val="006E44FD"/>
    <w:rsid w:val="006E458F"/>
    <w:rsid w:val="006E5431"/>
    <w:rsid w:val="006E544A"/>
    <w:rsid w:val="006E660A"/>
    <w:rsid w:val="006E6E69"/>
    <w:rsid w:val="006E6F57"/>
    <w:rsid w:val="006F18EA"/>
    <w:rsid w:val="006F1CCD"/>
    <w:rsid w:val="006F2834"/>
    <w:rsid w:val="006F2835"/>
    <w:rsid w:val="006F30C0"/>
    <w:rsid w:val="006F361C"/>
    <w:rsid w:val="006F473D"/>
    <w:rsid w:val="006F58BA"/>
    <w:rsid w:val="006F58BB"/>
    <w:rsid w:val="006F59E1"/>
    <w:rsid w:val="006F6265"/>
    <w:rsid w:val="006F6756"/>
    <w:rsid w:val="006F6F61"/>
    <w:rsid w:val="006F7AF9"/>
    <w:rsid w:val="006F7CA9"/>
    <w:rsid w:val="00700866"/>
    <w:rsid w:val="00701CF5"/>
    <w:rsid w:val="007025CA"/>
    <w:rsid w:val="00702E2D"/>
    <w:rsid w:val="00703352"/>
    <w:rsid w:val="00703606"/>
    <w:rsid w:val="00703A97"/>
    <w:rsid w:val="00703BA0"/>
    <w:rsid w:val="00703E39"/>
    <w:rsid w:val="00704202"/>
    <w:rsid w:val="007049FF"/>
    <w:rsid w:val="00704D41"/>
    <w:rsid w:val="0070546B"/>
    <w:rsid w:val="00705970"/>
    <w:rsid w:val="00706683"/>
    <w:rsid w:val="007070DB"/>
    <w:rsid w:val="007071EE"/>
    <w:rsid w:val="00707480"/>
    <w:rsid w:val="00707C2F"/>
    <w:rsid w:val="007101F2"/>
    <w:rsid w:val="00710D55"/>
    <w:rsid w:val="00712823"/>
    <w:rsid w:val="00712A85"/>
    <w:rsid w:val="00712AB1"/>
    <w:rsid w:val="00713762"/>
    <w:rsid w:val="0071385C"/>
    <w:rsid w:val="00713D0C"/>
    <w:rsid w:val="00713E48"/>
    <w:rsid w:val="0071481B"/>
    <w:rsid w:val="00714EAE"/>
    <w:rsid w:val="007153E9"/>
    <w:rsid w:val="00715EB0"/>
    <w:rsid w:val="00715EF3"/>
    <w:rsid w:val="0071651A"/>
    <w:rsid w:val="00720AE9"/>
    <w:rsid w:val="00721698"/>
    <w:rsid w:val="00721880"/>
    <w:rsid w:val="00721885"/>
    <w:rsid w:val="007224D9"/>
    <w:rsid w:val="007234B1"/>
    <w:rsid w:val="0072387A"/>
    <w:rsid w:val="0072390C"/>
    <w:rsid w:val="00724364"/>
    <w:rsid w:val="00724617"/>
    <w:rsid w:val="007253FA"/>
    <w:rsid w:val="007255D8"/>
    <w:rsid w:val="007258C9"/>
    <w:rsid w:val="00725DEE"/>
    <w:rsid w:val="00725EC3"/>
    <w:rsid w:val="00725EE3"/>
    <w:rsid w:val="007261B7"/>
    <w:rsid w:val="00726A53"/>
    <w:rsid w:val="007275F4"/>
    <w:rsid w:val="00727BE5"/>
    <w:rsid w:val="00727F46"/>
    <w:rsid w:val="00730187"/>
    <w:rsid w:val="007302B7"/>
    <w:rsid w:val="00730609"/>
    <w:rsid w:val="007328EE"/>
    <w:rsid w:val="00732F3A"/>
    <w:rsid w:val="00733558"/>
    <w:rsid w:val="0073540E"/>
    <w:rsid w:val="00735569"/>
    <w:rsid w:val="00736715"/>
    <w:rsid w:val="00736B5C"/>
    <w:rsid w:val="00736BFD"/>
    <w:rsid w:val="0073704E"/>
    <w:rsid w:val="007375C4"/>
    <w:rsid w:val="00737629"/>
    <w:rsid w:val="00737A3D"/>
    <w:rsid w:val="00740217"/>
    <w:rsid w:val="007415FA"/>
    <w:rsid w:val="0074196D"/>
    <w:rsid w:val="00743E36"/>
    <w:rsid w:val="0074454D"/>
    <w:rsid w:val="00744999"/>
    <w:rsid w:val="00744B2C"/>
    <w:rsid w:val="007455F1"/>
    <w:rsid w:val="0074661B"/>
    <w:rsid w:val="0074668E"/>
    <w:rsid w:val="00746875"/>
    <w:rsid w:val="007469ED"/>
    <w:rsid w:val="00746C52"/>
    <w:rsid w:val="00746CD2"/>
    <w:rsid w:val="007479A3"/>
    <w:rsid w:val="0075082E"/>
    <w:rsid w:val="00752007"/>
    <w:rsid w:val="007521A6"/>
    <w:rsid w:val="007525FF"/>
    <w:rsid w:val="007526CB"/>
    <w:rsid w:val="00752C49"/>
    <w:rsid w:val="00753417"/>
    <w:rsid w:val="00753CAE"/>
    <w:rsid w:val="00754535"/>
    <w:rsid w:val="00754D69"/>
    <w:rsid w:val="00754F0A"/>
    <w:rsid w:val="0075539A"/>
    <w:rsid w:val="00756074"/>
    <w:rsid w:val="0075628A"/>
    <w:rsid w:val="00756A64"/>
    <w:rsid w:val="00756CD7"/>
    <w:rsid w:val="007575E5"/>
    <w:rsid w:val="00757C96"/>
    <w:rsid w:val="0076017B"/>
    <w:rsid w:val="00760C52"/>
    <w:rsid w:val="00760E86"/>
    <w:rsid w:val="00760F94"/>
    <w:rsid w:val="00761414"/>
    <w:rsid w:val="007617D6"/>
    <w:rsid w:val="00761FA3"/>
    <w:rsid w:val="00762365"/>
    <w:rsid w:val="0076273D"/>
    <w:rsid w:val="00762A0F"/>
    <w:rsid w:val="0076347A"/>
    <w:rsid w:val="00763498"/>
    <w:rsid w:val="00764460"/>
    <w:rsid w:val="007657E2"/>
    <w:rsid w:val="00765A60"/>
    <w:rsid w:val="00766269"/>
    <w:rsid w:val="0076675D"/>
    <w:rsid w:val="00766BE1"/>
    <w:rsid w:val="0076722A"/>
    <w:rsid w:val="00767C08"/>
    <w:rsid w:val="00770532"/>
    <w:rsid w:val="007706DA"/>
    <w:rsid w:val="00771103"/>
    <w:rsid w:val="00771854"/>
    <w:rsid w:val="0077310E"/>
    <w:rsid w:val="00774470"/>
    <w:rsid w:val="007747AD"/>
    <w:rsid w:val="00774DFC"/>
    <w:rsid w:val="007751CF"/>
    <w:rsid w:val="00775683"/>
    <w:rsid w:val="00775743"/>
    <w:rsid w:val="00776096"/>
    <w:rsid w:val="00776B2E"/>
    <w:rsid w:val="00776DD4"/>
    <w:rsid w:val="00777F66"/>
    <w:rsid w:val="0078011C"/>
    <w:rsid w:val="00780274"/>
    <w:rsid w:val="00780BC2"/>
    <w:rsid w:val="00782446"/>
    <w:rsid w:val="00782588"/>
    <w:rsid w:val="00782AAF"/>
    <w:rsid w:val="00782B3B"/>
    <w:rsid w:val="00783355"/>
    <w:rsid w:val="0078356C"/>
    <w:rsid w:val="00783676"/>
    <w:rsid w:val="00783BD0"/>
    <w:rsid w:val="00784D7A"/>
    <w:rsid w:val="00786FE5"/>
    <w:rsid w:val="0078782C"/>
    <w:rsid w:val="00790152"/>
    <w:rsid w:val="00790F63"/>
    <w:rsid w:val="00791F94"/>
    <w:rsid w:val="00792471"/>
    <w:rsid w:val="00792CD5"/>
    <w:rsid w:val="0079301F"/>
    <w:rsid w:val="00793B12"/>
    <w:rsid w:val="0079441B"/>
    <w:rsid w:val="00794643"/>
    <w:rsid w:val="00794ED4"/>
    <w:rsid w:val="00794FE1"/>
    <w:rsid w:val="00795272"/>
    <w:rsid w:val="00797502"/>
    <w:rsid w:val="00797804"/>
    <w:rsid w:val="00797B1F"/>
    <w:rsid w:val="007A159C"/>
    <w:rsid w:val="007A2556"/>
    <w:rsid w:val="007A25E0"/>
    <w:rsid w:val="007A376B"/>
    <w:rsid w:val="007A4689"/>
    <w:rsid w:val="007A63E0"/>
    <w:rsid w:val="007A7015"/>
    <w:rsid w:val="007A72A2"/>
    <w:rsid w:val="007A733F"/>
    <w:rsid w:val="007A78BB"/>
    <w:rsid w:val="007A7A4B"/>
    <w:rsid w:val="007B032D"/>
    <w:rsid w:val="007B03CF"/>
    <w:rsid w:val="007B158C"/>
    <w:rsid w:val="007B3700"/>
    <w:rsid w:val="007B5517"/>
    <w:rsid w:val="007B560F"/>
    <w:rsid w:val="007B56CD"/>
    <w:rsid w:val="007B5E41"/>
    <w:rsid w:val="007B6015"/>
    <w:rsid w:val="007B6C5B"/>
    <w:rsid w:val="007B7F93"/>
    <w:rsid w:val="007C0107"/>
    <w:rsid w:val="007C01D1"/>
    <w:rsid w:val="007C0233"/>
    <w:rsid w:val="007C110B"/>
    <w:rsid w:val="007C17FD"/>
    <w:rsid w:val="007C1C27"/>
    <w:rsid w:val="007C298D"/>
    <w:rsid w:val="007C2A86"/>
    <w:rsid w:val="007C3BC5"/>
    <w:rsid w:val="007C4469"/>
    <w:rsid w:val="007C459A"/>
    <w:rsid w:val="007C4B16"/>
    <w:rsid w:val="007C4B2D"/>
    <w:rsid w:val="007C4E07"/>
    <w:rsid w:val="007C5750"/>
    <w:rsid w:val="007C5C4E"/>
    <w:rsid w:val="007C6A56"/>
    <w:rsid w:val="007C70F2"/>
    <w:rsid w:val="007D083D"/>
    <w:rsid w:val="007D19D4"/>
    <w:rsid w:val="007D1E1E"/>
    <w:rsid w:val="007D1E39"/>
    <w:rsid w:val="007D3E5D"/>
    <w:rsid w:val="007D419F"/>
    <w:rsid w:val="007D4383"/>
    <w:rsid w:val="007D4742"/>
    <w:rsid w:val="007D4B8D"/>
    <w:rsid w:val="007D4D36"/>
    <w:rsid w:val="007D4ED8"/>
    <w:rsid w:val="007D5CE8"/>
    <w:rsid w:val="007D62FA"/>
    <w:rsid w:val="007D686F"/>
    <w:rsid w:val="007D6DF2"/>
    <w:rsid w:val="007D745D"/>
    <w:rsid w:val="007D7970"/>
    <w:rsid w:val="007D7BDA"/>
    <w:rsid w:val="007E09CF"/>
    <w:rsid w:val="007E0DBA"/>
    <w:rsid w:val="007E143C"/>
    <w:rsid w:val="007E3BD7"/>
    <w:rsid w:val="007E3D58"/>
    <w:rsid w:val="007E44F8"/>
    <w:rsid w:val="007E4967"/>
    <w:rsid w:val="007E4BCF"/>
    <w:rsid w:val="007E4E4B"/>
    <w:rsid w:val="007E5265"/>
    <w:rsid w:val="007E5373"/>
    <w:rsid w:val="007E6A0C"/>
    <w:rsid w:val="007E7450"/>
    <w:rsid w:val="007E7625"/>
    <w:rsid w:val="007E7867"/>
    <w:rsid w:val="007E7E2B"/>
    <w:rsid w:val="007F02AC"/>
    <w:rsid w:val="007F08CE"/>
    <w:rsid w:val="007F102F"/>
    <w:rsid w:val="007F10F2"/>
    <w:rsid w:val="007F1821"/>
    <w:rsid w:val="007F240C"/>
    <w:rsid w:val="007F2A61"/>
    <w:rsid w:val="007F3E9E"/>
    <w:rsid w:val="007F464E"/>
    <w:rsid w:val="007F4762"/>
    <w:rsid w:val="007F4FCF"/>
    <w:rsid w:val="007F57B4"/>
    <w:rsid w:val="007F5B5B"/>
    <w:rsid w:val="007F6764"/>
    <w:rsid w:val="007F6E5A"/>
    <w:rsid w:val="007F71AE"/>
    <w:rsid w:val="007F7801"/>
    <w:rsid w:val="008003F2"/>
    <w:rsid w:val="008004B7"/>
    <w:rsid w:val="008009B8"/>
    <w:rsid w:val="00801F40"/>
    <w:rsid w:val="00802314"/>
    <w:rsid w:val="00802F0A"/>
    <w:rsid w:val="00803BEE"/>
    <w:rsid w:val="008042A8"/>
    <w:rsid w:val="00804B42"/>
    <w:rsid w:val="00804B5F"/>
    <w:rsid w:val="008055F9"/>
    <w:rsid w:val="00806591"/>
    <w:rsid w:val="0080674F"/>
    <w:rsid w:val="00806976"/>
    <w:rsid w:val="00807524"/>
    <w:rsid w:val="008077CA"/>
    <w:rsid w:val="00810244"/>
    <w:rsid w:val="00810553"/>
    <w:rsid w:val="008105B3"/>
    <w:rsid w:val="0081129F"/>
    <w:rsid w:val="00811F36"/>
    <w:rsid w:val="0081215C"/>
    <w:rsid w:val="00813397"/>
    <w:rsid w:val="008137E7"/>
    <w:rsid w:val="008141D7"/>
    <w:rsid w:val="00815243"/>
    <w:rsid w:val="008159E6"/>
    <w:rsid w:val="00815B7B"/>
    <w:rsid w:val="00815D22"/>
    <w:rsid w:val="00817342"/>
    <w:rsid w:val="00820733"/>
    <w:rsid w:val="0082094D"/>
    <w:rsid w:val="00820AAF"/>
    <w:rsid w:val="00820AB6"/>
    <w:rsid w:val="00820B34"/>
    <w:rsid w:val="00820FB5"/>
    <w:rsid w:val="00821084"/>
    <w:rsid w:val="008214F2"/>
    <w:rsid w:val="00822B6D"/>
    <w:rsid w:val="00822F32"/>
    <w:rsid w:val="008235BF"/>
    <w:rsid w:val="0082390E"/>
    <w:rsid w:val="00823A54"/>
    <w:rsid w:val="00823C08"/>
    <w:rsid w:val="00823C90"/>
    <w:rsid w:val="008244C6"/>
    <w:rsid w:val="00824E5D"/>
    <w:rsid w:val="0082518C"/>
    <w:rsid w:val="008252EE"/>
    <w:rsid w:val="008254F9"/>
    <w:rsid w:val="00826159"/>
    <w:rsid w:val="00826231"/>
    <w:rsid w:val="00826864"/>
    <w:rsid w:val="008272DC"/>
    <w:rsid w:val="008277AC"/>
    <w:rsid w:val="00830043"/>
    <w:rsid w:val="008303DA"/>
    <w:rsid w:val="00830AC2"/>
    <w:rsid w:val="00831003"/>
    <w:rsid w:val="00832285"/>
    <w:rsid w:val="00832AC6"/>
    <w:rsid w:val="00833B59"/>
    <w:rsid w:val="00833E5F"/>
    <w:rsid w:val="00834784"/>
    <w:rsid w:val="00834C08"/>
    <w:rsid w:val="00835CCA"/>
    <w:rsid w:val="0083658C"/>
    <w:rsid w:val="00837168"/>
    <w:rsid w:val="00841255"/>
    <w:rsid w:val="0084187D"/>
    <w:rsid w:val="00841DE0"/>
    <w:rsid w:val="0084416F"/>
    <w:rsid w:val="00845118"/>
    <w:rsid w:val="008458C2"/>
    <w:rsid w:val="00846444"/>
    <w:rsid w:val="00846664"/>
    <w:rsid w:val="00847DFD"/>
    <w:rsid w:val="00850BBD"/>
    <w:rsid w:val="00850BD2"/>
    <w:rsid w:val="00851F30"/>
    <w:rsid w:val="0085202F"/>
    <w:rsid w:val="0085221F"/>
    <w:rsid w:val="00852807"/>
    <w:rsid w:val="00853879"/>
    <w:rsid w:val="008548EC"/>
    <w:rsid w:val="00855F77"/>
    <w:rsid w:val="008567DA"/>
    <w:rsid w:val="008569FE"/>
    <w:rsid w:val="00856FB8"/>
    <w:rsid w:val="00860260"/>
    <w:rsid w:val="008611E6"/>
    <w:rsid w:val="00861240"/>
    <w:rsid w:val="0086149E"/>
    <w:rsid w:val="00861F06"/>
    <w:rsid w:val="0086240D"/>
    <w:rsid w:val="00862540"/>
    <w:rsid w:val="008631E5"/>
    <w:rsid w:val="0086407C"/>
    <w:rsid w:val="00864A75"/>
    <w:rsid w:val="008653B5"/>
    <w:rsid w:val="008653F6"/>
    <w:rsid w:val="008654F1"/>
    <w:rsid w:val="00865B42"/>
    <w:rsid w:val="00865E34"/>
    <w:rsid w:val="00866D7D"/>
    <w:rsid w:val="008674E5"/>
    <w:rsid w:val="00867DE7"/>
    <w:rsid w:val="00867E61"/>
    <w:rsid w:val="008701FF"/>
    <w:rsid w:val="00871C9E"/>
    <w:rsid w:val="0087211A"/>
    <w:rsid w:val="008724D5"/>
    <w:rsid w:val="00872EBF"/>
    <w:rsid w:val="00872F85"/>
    <w:rsid w:val="00874DEA"/>
    <w:rsid w:val="008753DC"/>
    <w:rsid w:val="0087576B"/>
    <w:rsid w:val="00875CE1"/>
    <w:rsid w:val="00877EDF"/>
    <w:rsid w:val="00880B5B"/>
    <w:rsid w:val="008821DD"/>
    <w:rsid w:val="00882547"/>
    <w:rsid w:val="00882ECD"/>
    <w:rsid w:val="00883CF9"/>
    <w:rsid w:val="0088478B"/>
    <w:rsid w:val="0088523B"/>
    <w:rsid w:val="00885428"/>
    <w:rsid w:val="0088558F"/>
    <w:rsid w:val="00885FAE"/>
    <w:rsid w:val="008861BB"/>
    <w:rsid w:val="008907F1"/>
    <w:rsid w:val="00890A1E"/>
    <w:rsid w:val="008914BD"/>
    <w:rsid w:val="0089196E"/>
    <w:rsid w:val="00891D9A"/>
    <w:rsid w:val="00892294"/>
    <w:rsid w:val="008928E7"/>
    <w:rsid w:val="00892C8C"/>
    <w:rsid w:val="00893459"/>
    <w:rsid w:val="008936AC"/>
    <w:rsid w:val="00893B42"/>
    <w:rsid w:val="00893BFC"/>
    <w:rsid w:val="00894D9B"/>
    <w:rsid w:val="008957F7"/>
    <w:rsid w:val="00895931"/>
    <w:rsid w:val="00896A85"/>
    <w:rsid w:val="00896C53"/>
    <w:rsid w:val="00896C85"/>
    <w:rsid w:val="008974A4"/>
    <w:rsid w:val="008A0211"/>
    <w:rsid w:val="008A060E"/>
    <w:rsid w:val="008A0B53"/>
    <w:rsid w:val="008A0C75"/>
    <w:rsid w:val="008A0F59"/>
    <w:rsid w:val="008A1D18"/>
    <w:rsid w:val="008A281F"/>
    <w:rsid w:val="008A2F31"/>
    <w:rsid w:val="008A3B81"/>
    <w:rsid w:val="008A4FC4"/>
    <w:rsid w:val="008A5909"/>
    <w:rsid w:val="008A605D"/>
    <w:rsid w:val="008A6604"/>
    <w:rsid w:val="008A6FB2"/>
    <w:rsid w:val="008B0066"/>
    <w:rsid w:val="008B0914"/>
    <w:rsid w:val="008B1404"/>
    <w:rsid w:val="008B1454"/>
    <w:rsid w:val="008B1A7C"/>
    <w:rsid w:val="008B2A06"/>
    <w:rsid w:val="008B2F13"/>
    <w:rsid w:val="008B3924"/>
    <w:rsid w:val="008B5B0B"/>
    <w:rsid w:val="008B6238"/>
    <w:rsid w:val="008B6869"/>
    <w:rsid w:val="008B6B16"/>
    <w:rsid w:val="008B73CF"/>
    <w:rsid w:val="008C07A5"/>
    <w:rsid w:val="008C1022"/>
    <w:rsid w:val="008C1677"/>
    <w:rsid w:val="008C2503"/>
    <w:rsid w:val="008C3F7E"/>
    <w:rsid w:val="008C3FCC"/>
    <w:rsid w:val="008C415B"/>
    <w:rsid w:val="008C4354"/>
    <w:rsid w:val="008C435D"/>
    <w:rsid w:val="008C4733"/>
    <w:rsid w:val="008C4C7E"/>
    <w:rsid w:val="008C6B08"/>
    <w:rsid w:val="008C6EF6"/>
    <w:rsid w:val="008C72A1"/>
    <w:rsid w:val="008C7930"/>
    <w:rsid w:val="008C79B7"/>
    <w:rsid w:val="008D0ED8"/>
    <w:rsid w:val="008D0FF5"/>
    <w:rsid w:val="008D1CB2"/>
    <w:rsid w:val="008D3664"/>
    <w:rsid w:val="008D3800"/>
    <w:rsid w:val="008D4E89"/>
    <w:rsid w:val="008D4FE5"/>
    <w:rsid w:val="008D52B6"/>
    <w:rsid w:val="008D56A2"/>
    <w:rsid w:val="008D5B2E"/>
    <w:rsid w:val="008D6C54"/>
    <w:rsid w:val="008D7F50"/>
    <w:rsid w:val="008E1255"/>
    <w:rsid w:val="008E1397"/>
    <w:rsid w:val="008E1AA0"/>
    <w:rsid w:val="008E1D2F"/>
    <w:rsid w:val="008E230B"/>
    <w:rsid w:val="008E240C"/>
    <w:rsid w:val="008E2B94"/>
    <w:rsid w:val="008E34DC"/>
    <w:rsid w:val="008E4796"/>
    <w:rsid w:val="008E4C4A"/>
    <w:rsid w:val="008E5050"/>
    <w:rsid w:val="008E53B6"/>
    <w:rsid w:val="008E5AC5"/>
    <w:rsid w:val="008E5CD5"/>
    <w:rsid w:val="008E6074"/>
    <w:rsid w:val="008E766B"/>
    <w:rsid w:val="008E784A"/>
    <w:rsid w:val="008F0725"/>
    <w:rsid w:val="008F11BE"/>
    <w:rsid w:val="008F19FA"/>
    <w:rsid w:val="008F1B48"/>
    <w:rsid w:val="008F1C4D"/>
    <w:rsid w:val="008F31D6"/>
    <w:rsid w:val="008F3555"/>
    <w:rsid w:val="008F46CD"/>
    <w:rsid w:val="008F470C"/>
    <w:rsid w:val="008F4983"/>
    <w:rsid w:val="008F499B"/>
    <w:rsid w:val="008F595E"/>
    <w:rsid w:val="008F6A29"/>
    <w:rsid w:val="008F737B"/>
    <w:rsid w:val="008F742B"/>
    <w:rsid w:val="009019DD"/>
    <w:rsid w:val="00901E9A"/>
    <w:rsid w:val="00903150"/>
    <w:rsid w:val="0090322A"/>
    <w:rsid w:val="009039D8"/>
    <w:rsid w:val="00904AD5"/>
    <w:rsid w:val="0090516A"/>
    <w:rsid w:val="00905301"/>
    <w:rsid w:val="009056C3"/>
    <w:rsid w:val="009057C2"/>
    <w:rsid w:val="00905BE6"/>
    <w:rsid w:val="00905FB4"/>
    <w:rsid w:val="00906DB4"/>
    <w:rsid w:val="00907474"/>
    <w:rsid w:val="009103EE"/>
    <w:rsid w:val="00910A2C"/>
    <w:rsid w:val="00911579"/>
    <w:rsid w:val="009124E1"/>
    <w:rsid w:val="00912F13"/>
    <w:rsid w:val="00913170"/>
    <w:rsid w:val="00913368"/>
    <w:rsid w:val="0091361D"/>
    <w:rsid w:val="00913A37"/>
    <w:rsid w:val="00914A1E"/>
    <w:rsid w:val="00914B04"/>
    <w:rsid w:val="00915050"/>
    <w:rsid w:val="0091605B"/>
    <w:rsid w:val="00917CA9"/>
    <w:rsid w:val="009203F1"/>
    <w:rsid w:val="0092054B"/>
    <w:rsid w:val="00920ADB"/>
    <w:rsid w:val="0092212F"/>
    <w:rsid w:val="00922965"/>
    <w:rsid w:val="00922DD0"/>
    <w:rsid w:val="00922F45"/>
    <w:rsid w:val="00923591"/>
    <w:rsid w:val="00923A89"/>
    <w:rsid w:val="00924447"/>
    <w:rsid w:val="00925BDB"/>
    <w:rsid w:val="0092617B"/>
    <w:rsid w:val="009266E0"/>
    <w:rsid w:val="00931A2B"/>
    <w:rsid w:val="0093248E"/>
    <w:rsid w:val="00933B09"/>
    <w:rsid w:val="009366B9"/>
    <w:rsid w:val="00936773"/>
    <w:rsid w:val="00936B86"/>
    <w:rsid w:val="0093767B"/>
    <w:rsid w:val="009428CF"/>
    <w:rsid w:val="00943BEA"/>
    <w:rsid w:val="009442D0"/>
    <w:rsid w:val="0094447D"/>
    <w:rsid w:val="009447CA"/>
    <w:rsid w:val="00944D2F"/>
    <w:rsid w:val="009455A1"/>
    <w:rsid w:val="00945B94"/>
    <w:rsid w:val="00945B9A"/>
    <w:rsid w:val="00945F3F"/>
    <w:rsid w:val="0094607B"/>
    <w:rsid w:val="00946E5B"/>
    <w:rsid w:val="00947180"/>
    <w:rsid w:val="00950470"/>
    <w:rsid w:val="00950532"/>
    <w:rsid w:val="00951293"/>
    <w:rsid w:val="00951830"/>
    <w:rsid w:val="00952A6E"/>
    <w:rsid w:val="00952AE9"/>
    <w:rsid w:val="00952CCD"/>
    <w:rsid w:val="009531E0"/>
    <w:rsid w:val="009531FE"/>
    <w:rsid w:val="0095338F"/>
    <w:rsid w:val="00953814"/>
    <w:rsid w:val="00953B09"/>
    <w:rsid w:val="00953BCC"/>
    <w:rsid w:val="009541EA"/>
    <w:rsid w:val="009542C3"/>
    <w:rsid w:val="009551F0"/>
    <w:rsid w:val="009564D7"/>
    <w:rsid w:val="00956C85"/>
    <w:rsid w:val="00956FA5"/>
    <w:rsid w:val="00957E9A"/>
    <w:rsid w:val="00960290"/>
    <w:rsid w:val="009603BE"/>
    <w:rsid w:val="009604DF"/>
    <w:rsid w:val="00960518"/>
    <w:rsid w:val="00960F10"/>
    <w:rsid w:val="00962187"/>
    <w:rsid w:val="00962B70"/>
    <w:rsid w:val="00962BB4"/>
    <w:rsid w:val="00964223"/>
    <w:rsid w:val="009648E7"/>
    <w:rsid w:val="00965491"/>
    <w:rsid w:val="00965C8E"/>
    <w:rsid w:val="009661A9"/>
    <w:rsid w:val="00966CB3"/>
    <w:rsid w:val="00970FA5"/>
    <w:rsid w:val="00970FE9"/>
    <w:rsid w:val="00971420"/>
    <w:rsid w:val="00972AEE"/>
    <w:rsid w:val="00973843"/>
    <w:rsid w:val="00973A43"/>
    <w:rsid w:val="00974075"/>
    <w:rsid w:val="00974672"/>
    <w:rsid w:val="009746F3"/>
    <w:rsid w:val="00975260"/>
    <w:rsid w:val="009763E2"/>
    <w:rsid w:val="009769FC"/>
    <w:rsid w:val="00976E06"/>
    <w:rsid w:val="00977316"/>
    <w:rsid w:val="009776DA"/>
    <w:rsid w:val="00977975"/>
    <w:rsid w:val="009811C6"/>
    <w:rsid w:val="0098207B"/>
    <w:rsid w:val="00982356"/>
    <w:rsid w:val="00982E3B"/>
    <w:rsid w:val="0098307A"/>
    <w:rsid w:val="0098318C"/>
    <w:rsid w:val="009832F7"/>
    <w:rsid w:val="009835E7"/>
    <w:rsid w:val="00984022"/>
    <w:rsid w:val="0098489B"/>
    <w:rsid w:val="0098526B"/>
    <w:rsid w:val="009854A1"/>
    <w:rsid w:val="009859AA"/>
    <w:rsid w:val="009861A0"/>
    <w:rsid w:val="00986ACF"/>
    <w:rsid w:val="009874B7"/>
    <w:rsid w:val="00990F95"/>
    <w:rsid w:val="0099147E"/>
    <w:rsid w:val="009916CA"/>
    <w:rsid w:val="00991E71"/>
    <w:rsid w:val="00991EA1"/>
    <w:rsid w:val="009923C4"/>
    <w:rsid w:val="0099248F"/>
    <w:rsid w:val="00992B55"/>
    <w:rsid w:val="009934DD"/>
    <w:rsid w:val="0099368E"/>
    <w:rsid w:val="00993A79"/>
    <w:rsid w:val="0099457C"/>
    <w:rsid w:val="009946E4"/>
    <w:rsid w:val="0099504F"/>
    <w:rsid w:val="009955CA"/>
    <w:rsid w:val="0099600B"/>
    <w:rsid w:val="00996531"/>
    <w:rsid w:val="0099695D"/>
    <w:rsid w:val="00997D91"/>
    <w:rsid w:val="00997ED0"/>
    <w:rsid w:val="009A00FA"/>
    <w:rsid w:val="009A0345"/>
    <w:rsid w:val="009A143F"/>
    <w:rsid w:val="009A260F"/>
    <w:rsid w:val="009A3968"/>
    <w:rsid w:val="009A5096"/>
    <w:rsid w:val="009A5621"/>
    <w:rsid w:val="009A6E85"/>
    <w:rsid w:val="009A6F00"/>
    <w:rsid w:val="009A7090"/>
    <w:rsid w:val="009A70D6"/>
    <w:rsid w:val="009A734B"/>
    <w:rsid w:val="009A76B4"/>
    <w:rsid w:val="009A7E44"/>
    <w:rsid w:val="009A7EC4"/>
    <w:rsid w:val="009B07E9"/>
    <w:rsid w:val="009B1322"/>
    <w:rsid w:val="009B1721"/>
    <w:rsid w:val="009B17F6"/>
    <w:rsid w:val="009B291D"/>
    <w:rsid w:val="009B375F"/>
    <w:rsid w:val="009B40A2"/>
    <w:rsid w:val="009B40AD"/>
    <w:rsid w:val="009B47B3"/>
    <w:rsid w:val="009B4CE6"/>
    <w:rsid w:val="009B51E8"/>
    <w:rsid w:val="009B555D"/>
    <w:rsid w:val="009B5FF8"/>
    <w:rsid w:val="009B6046"/>
    <w:rsid w:val="009B690B"/>
    <w:rsid w:val="009B692A"/>
    <w:rsid w:val="009B6ED6"/>
    <w:rsid w:val="009B712F"/>
    <w:rsid w:val="009B7769"/>
    <w:rsid w:val="009C038C"/>
    <w:rsid w:val="009C07D7"/>
    <w:rsid w:val="009C0F6F"/>
    <w:rsid w:val="009C19A4"/>
    <w:rsid w:val="009C1E89"/>
    <w:rsid w:val="009C2F20"/>
    <w:rsid w:val="009C3BB2"/>
    <w:rsid w:val="009C41E9"/>
    <w:rsid w:val="009C4680"/>
    <w:rsid w:val="009C4B87"/>
    <w:rsid w:val="009C53EF"/>
    <w:rsid w:val="009C62FD"/>
    <w:rsid w:val="009D06E9"/>
    <w:rsid w:val="009D06FC"/>
    <w:rsid w:val="009D0EBB"/>
    <w:rsid w:val="009D0F7D"/>
    <w:rsid w:val="009D1562"/>
    <w:rsid w:val="009D1578"/>
    <w:rsid w:val="009D2664"/>
    <w:rsid w:val="009D2B8B"/>
    <w:rsid w:val="009D39F5"/>
    <w:rsid w:val="009D3A62"/>
    <w:rsid w:val="009D3C4A"/>
    <w:rsid w:val="009D4483"/>
    <w:rsid w:val="009D44AA"/>
    <w:rsid w:val="009D475A"/>
    <w:rsid w:val="009D5A7D"/>
    <w:rsid w:val="009D6141"/>
    <w:rsid w:val="009E157C"/>
    <w:rsid w:val="009E1B82"/>
    <w:rsid w:val="009E1F4E"/>
    <w:rsid w:val="009E22A3"/>
    <w:rsid w:val="009E235F"/>
    <w:rsid w:val="009E252F"/>
    <w:rsid w:val="009E2EA2"/>
    <w:rsid w:val="009E3035"/>
    <w:rsid w:val="009E32F5"/>
    <w:rsid w:val="009E4205"/>
    <w:rsid w:val="009E4D40"/>
    <w:rsid w:val="009E51D0"/>
    <w:rsid w:val="009E54BA"/>
    <w:rsid w:val="009E67C8"/>
    <w:rsid w:val="009E76EF"/>
    <w:rsid w:val="009F02CC"/>
    <w:rsid w:val="009F03E7"/>
    <w:rsid w:val="009F055F"/>
    <w:rsid w:val="009F0731"/>
    <w:rsid w:val="009F0C40"/>
    <w:rsid w:val="009F1B06"/>
    <w:rsid w:val="009F2775"/>
    <w:rsid w:val="009F3573"/>
    <w:rsid w:val="009F35F4"/>
    <w:rsid w:val="009F4592"/>
    <w:rsid w:val="009F56BE"/>
    <w:rsid w:val="009F5EB8"/>
    <w:rsid w:val="009F5F93"/>
    <w:rsid w:val="009F65D1"/>
    <w:rsid w:val="009F675A"/>
    <w:rsid w:val="009F6C34"/>
    <w:rsid w:val="009F7505"/>
    <w:rsid w:val="009F7817"/>
    <w:rsid w:val="009F7901"/>
    <w:rsid w:val="00A00114"/>
    <w:rsid w:val="00A00194"/>
    <w:rsid w:val="00A00DBD"/>
    <w:rsid w:val="00A01050"/>
    <w:rsid w:val="00A01185"/>
    <w:rsid w:val="00A03323"/>
    <w:rsid w:val="00A03F34"/>
    <w:rsid w:val="00A043AD"/>
    <w:rsid w:val="00A048E5"/>
    <w:rsid w:val="00A05803"/>
    <w:rsid w:val="00A058F9"/>
    <w:rsid w:val="00A06060"/>
    <w:rsid w:val="00A0687F"/>
    <w:rsid w:val="00A07BDB"/>
    <w:rsid w:val="00A07F5B"/>
    <w:rsid w:val="00A116F9"/>
    <w:rsid w:val="00A12949"/>
    <w:rsid w:val="00A130DA"/>
    <w:rsid w:val="00A1421A"/>
    <w:rsid w:val="00A145C2"/>
    <w:rsid w:val="00A14958"/>
    <w:rsid w:val="00A151E3"/>
    <w:rsid w:val="00A159A9"/>
    <w:rsid w:val="00A159DA"/>
    <w:rsid w:val="00A16CF4"/>
    <w:rsid w:val="00A170ED"/>
    <w:rsid w:val="00A2093A"/>
    <w:rsid w:val="00A21451"/>
    <w:rsid w:val="00A2278B"/>
    <w:rsid w:val="00A23BA5"/>
    <w:rsid w:val="00A24461"/>
    <w:rsid w:val="00A24677"/>
    <w:rsid w:val="00A253DF"/>
    <w:rsid w:val="00A2561C"/>
    <w:rsid w:val="00A26AED"/>
    <w:rsid w:val="00A26DED"/>
    <w:rsid w:val="00A300A2"/>
    <w:rsid w:val="00A308BE"/>
    <w:rsid w:val="00A313A8"/>
    <w:rsid w:val="00A31A31"/>
    <w:rsid w:val="00A31AC4"/>
    <w:rsid w:val="00A31E6F"/>
    <w:rsid w:val="00A33C5B"/>
    <w:rsid w:val="00A34101"/>
    <w:rsid w:val="00A34680"/>
    <w:rsid w:val="00A34C2A"/>
    <w:rsid w:val="00A35A22"/>
    <w:rsid w:val="00A36066"/>
    <w:rsid w:val="00A36839"/>
    <w:rsid w:val="00A36AB0"/>
    <w:rsid w:val="00A376A6"/>
    <w:rsid w:val="00A405B4"/>
    <w:rsid w:val="00A40C2E"/>
    <w:rsid w:val="00A41125"/>
    <w:rsid w:val="00A42B1E"/>
    <w:rsid w:val="00A432F2"/>
    <w:rsid w:val="00A437AB"/>
    <w:rsid w:val="00A45E92"/>
    <w:rsid w:val="00A46F77"/>
    <w:rsid w:val="00A47B7E"/>
    <w:rsid w:val="00A502B4"/>
    <w:rsid w:val="00A50B08"/>
    <w:rsid w:val="00A513A8"/>
    <w:rsid w:val="00A52559"/>
    <w:rsid w:val="00A52CD1"/>
    <w:rsid w:val="00A530ED"/>
    <w:rsid w:val="00A53B48"/>
    <w:rsid w:val="00A54948"/>
    <w:rsid w:val="00A54A2C"/>
    <w:rsid w:val="00A54C1A"/>
    <w:rsid w:val="00A54E9F"/>
    <w:rsid w:val="00A55BC8"/>
    <w:rsid w:val="00A5633C"/>
    <w:rsid w:val="00A5704F"/>
    <w:rsid w:val="00A616C8"/>
    <w:rsid w:val="00A61CB2"/>
    <w:rsid w:val="00A61EEE"/>
    <w:rsid w:val="00A61F53"/>
    <w:rsid w:val="00A62CCD"/>
    <w:rsid w:val="00A62EF2"/>
    <w:rsid w:val="00A6304C"/>
    <w:rsid w:val="00A63C0D"/>
    <w:rsid w:val="00A6474C"/>
    <w:rsid w:val="00A64822"/>
    <w:rsid w:val="00A65088"/>
    <w:rsid w:val="00A65A5E"/>
    <w:rsid w:val="00A65C4B"/>
    <w:rsid w:val="00A65DC5"/>
    <w:rsid w:val="00A65F44"/>
    <w:rsid w:val="00A66855"/>
    <w:rsid w:val="00A670E7"/>
    <w:rsid w:val="00A67196"/>
    <w:rsid w:val="00A67312"/>
    <w:rsid w:val="00A673A4"/>
    <w:rsid w:val="00A70251"/>
    <w:rsid w:val="00A7072F"/>
    <w:rsid w:val="00A70B7D"/>
    <w:rsid w:val="00A70D11"/>
    <w:rsid w:val="00A71422"/>
    <w:rsid w:val="00A71513"/>
    <w:rsid w:val="00A71636"/>
    <w:rsid w:val="00A72345"/>
    <w:rsid w:val="00A72879"/>
    <w:rsid w:val="00A72DCD"/>
    <w:rsid w:val="00A73154"/>
    <w:rsid w:val="00A73719"/>
    <w:rsid w:val="00A7378D"/>
    <w:rsid w:val="00A73F80"/>
    <w:rsid w:val="00A740F5"/>
    <w:rsid w:val="00A755AB"/>
    <w:rsid w:val="00A756D3"/>
    <w:rsid w:val="00A75BF4"/>
    <w:rsid w:val="00A760D5"/>
    <w:rsid w:val="00A76BD5"/>
    <w:rsid w:val="00A77922"/>
    <w:rsid w:val="00A8090F"/>
    <w:rsid w:val="00A80ED4"/>
    <w:rsid w:val="00A8110E"/>
    <w:rsid w:val="00A81562"/>
    <w:rsid w:val="00A82441"/>
    <w:rsid w:val="00A82A92"/>
    <w:rsid w:val="00A82B1B"/>
    <w:rsid w:val="00A82EEF"/>
    <w:rsid w:val="00A83141"/>
    <w:rsid w:val="00A83B08"/>
    <w:rsid w:val="00A83B99"/>
    <w:rsid w:val="00A84955"/>
    <w:rsid w:val="00A84BB5"/>
    <w:rsid w:val="00A85199"/>
    <w:rsid w:val="00A85220"/>
    <w:rsid w:val="00A86399"/>
    <w:rsid w:val="00A86819"/>
    <w:rsid w:val="00A86D34"/>
    <w:rsid w:val="00A8700C"/>
    <w:rsid w:val="00A87514"/>
    <w:rsid w:val="00A875FA"/>
    <w:rsid w:val="00A90900"/>
    <w:rsid w:val="00A90921"/>
    <w:rsid w:val="00A91DA3"/>
    <w:rsid w:val="00A92200"/>
    <w:rsid w:val="00A92B19"/>
    <w:rsid w:val="00A93E3A"/>
    <w:rsid w:val="00A93E41"/>
    <w:rsid w:val="00A949F6"/>
    <w:rsid w:val="00A94DAB"/>
    <w:rsid w:val="00A94F46"/>
    <w:rsid w:val="00A9562D"/>
    <w:rsid w:val="00A958A8"/>
    <w:rsid w:val="00A97145"/>
    <w:rsid w:val="00A97483"/>
    <w:rsid w:val="00A97B79"/>
    <w:rsid w:val="00A97DC0"/>
    <w:rsid w:val="00AA0E0D"/>
    <w:rsid w:val="00AA1440"/>
    <w:rsid w:val="00AA15D7"/>
    <w:rsid w:val="00AA1AE2"/>
    <w:rsid w:val="00AA3ADE"/>
    <w:rsid w:val="00AA3FA4"/>
    <w:rsid w:val="00AA512E"/>
    <w:rsid w:val="00AA52B5"/>
    <w:rsid w:val="00AA5BFB"/>
    <w:rsid w:val="00AA6069"/>
    <w:rsid w:val="00AA6AA5"/>
    <w:rsid w:val="00AA6C8B"/>
    <w:rsid w:val="00AA6D31"/>
    <w:rsid w:val="00AA7310"/>
    <w:rsid w:val="00AB0116"/>
    <w:rsid w:val="00AB22E1"/>
    <w:rsid w:val="00AB2A09"/>
    <w:rsid w:val="00AB3336"/>
    <w:rsid w:val="00AB5DF8"/>
    <w:rsid w:val="00AB7B87"/>
    <w:rsid w:val="00AC1CF6"/>
    <w:rsid w:val="00AC1DA1"/>
    <w:rsid w:val="00AC1E10"/>
    <w:rsid w:val="00AC252B"/>
    <w:rsid w:val="00AC29AD"/>
    <w:rsid w:val="00AC3581"/>
    <w:rsid w:val="00AC397A"/>
    <w:rsid w:val="00AC3F92"/>
    <w:rsid w:val="00AC4555"/>
    <w:rsid w:val="00AC4E56"/>
    <w:rsid w:val="00AC6AFF"/>
    <w:rsid w:val="00AC7BCD"/>
    <w:rsid w:val="00AD0966"/>
    <w:rsid w:val="00AD0C6E"/>
    <w:rsid w:val="00AD241D"/>
    <w:rsid w:val="00AD26F7"/>
    <w:rsid w:val="00AD2844"/>
    <w:rsid w:val="00AD30FE"/>
    <w:rsid w:val="00AD37F6"/>
    <w:rsid w:val="00AD3D8D"/>
    <w:rsid w:val="00AD4E71"/>
    <w:rsid w:val="00AD4EC6"/>
    <w:rsid w:val="00AD4EE3"/>
    <w:rsid w:val="00AD5407"/>
    <w:rsid w:val="00AD56FE"/>
    <w:rsid w:val="00AD5A5E"/>
    <w:rsid w:val="00AD60FC"/>
    <w:rsid w:val="00AD611B"/>
    <w:rsid w:val="00AD7530"/>
    <w:rsid w:val="00AD7919"/>
    <w:rsid w:val="00AD7D05"/>
    <w:rsid w:val="00AE0016"/>
    <w:rsid w:val="00AE0124"/>
    <w:rsid w:val="00AE1678"/>
    <w:rsid w:val="00AE1AAA"/>
    <w:rsid w:val="00AE1F5A"/>
    <w:rsid w:val="00AE2454"/>
    <w:rsid w:val="00AE2642"/>
    <w:rsid w:val="00AE3757"/>
    <w:rsid w:val="00AE3CE4"/>
    <w:rsid w:val="00AE421F"/>
    <w:rsid w:val="00AE5186"/>
    <w:rsid w:val="00AE6177"/>
    <w:rsid w:val="00AE6B7A"/>
    <w:rsid w:val="00AE73CA"/>
    <w:rsid w:val="00AE79D0"/>
    <w:rsid w:val="00AE7AA1"/>
    <w:rsid w:val="00AE7B06"/>
    <w:rsid w:val="00AF194A"/>
    <w:rsid w:val="00AF1AC4"/>
    <w:rsid w:val="00AF1B9C"/>
    <w:rsid w:val="00AF1BDB"/>
    <w:rsid w:val="00AF3295"/>
    <w:rsid w:val="00AF351B"/>
    <w:rsid w:val="00AF3A43"/>
    <w:rsid w:val="00AF45CB"/>
    <w:rsid w:val="00AF4A07"/>
    <w:rsid w:val="00AF6797"/>
    <w:rsid w:val="00AF6B7D"/>
    <w:rsid w:val="00AF7200"/>
    <w:rsid w:val="00AF7438"/>
    <w:rsid w:val="00AF795F"/>
    <w:rsid w:val="00AF7D33"/>
    <w:rsid w:val="00B00EB6"/>
    <w:rsid w:val="00B00F07"/>
    <w:rsid w:val="00B012F5"/>
    <w:rsid w:val="00B0144C"/>
    <w:rsid w:val="00B0197E"/>
    <w:rsid w:val="00B01A69"/>
    <w:rsid w:val="00B01ED7"/>
    <w:rsid w:val="00B0269C"/>
    <w:rsid w:val="00B03F04"/>
    <w:rsid w:val="00B04D18"/>
    <w:rsid w:val="00B04DA5"/>
    <w:rsid w:val="00B05EE1"/>
    <w:rsid w:val="00B0615E"/>
    <w:rsid w:val="00B06A8B"/>
    <w:rsid w:val="00B0732C"/>
    <w:rsid w:val="00B073E5"/>
    <w:rsid w:val="00B07EB1"/>
    <w:rsid w:val="00B106F1"/>
    <w:rsid w:val="00B10D3E"/>
    <w:rsid w:val="00B10EAD"/>
    <w:rsid w:val="00B10ED3"/>
    <w:rsid w:val="00B1136D"/>
    <w:rsid w:val="00B11B20"/>
    <w:rsid w:val="00B11B64"/>
    <w:rsid w:val="00B12117"/>
    <w:rsid w:val="00B13644"/>
    <w:rsid w:val="00B13F42"/>
    <w:rsid w:val="00B163B7"/>
    <w:rsid w:val="00B16BC9"/>
    <w:rsid w:val="00B20D5D"/>
    <w:rsid w:val="00B212FD"/>
    <w:rsid w:val="00B2245A"/>
    <w:rsid w:val="00B2393B"/>
    <w:rsid w:val="00B248D8"/>
    <w:rsid w:val="00B248ED"/>
    <w:rsid w:val="00B24A9A"/>
    <w:rsid w:val="00B24EF9"/>
    <w:rsid w:val="00B25D55"/>
    <w:rsid w:val="00B27468"/>
    <w:rsid w:val="00B308A3"/>
    <w:rsid w:val="00B30A2A"/>
    <w:rsid w:val="00B30E55"/>
    <w:rsid w:val="00B31041"/>
    <w:rsid w:val="00B3115A"/>
    <w:rsid w:val="00B31230"/>
    <w:rsid w:val="00B31A4F"/>
    <w:rsid w:val="00B32AA6"/>
    <w:rsid w:val="00B33478"/>
    <w:rsid w:val="00B338E9"/>
    <w:rsid w:val="00B35758"/>
    <w:rsid w:val="00B36C6D"/>
    <w:rsid w:val="00B36D01"/>
    <w:rsid w:val="00B379CD"/>
    <w:rsid w:val="00B401E9"/>
    <w:rsid w:val="00B4096C"/>
    <w:rsid w:val="00B40A93"/>
    <w:rsid w:val="00B41734"/>
    <w:rsid w:val="00B421F0"/>
    <w:rsid w:val="00B425E7"/>
    <w:rsid w:val="00B429E5"/>
    <w:rsid w:val="00B42F55"/>
    <w:rsid w:val="00B437E9"/>
    <w:rsid w:val="00B4386C"/>
    <w:rsid w:val="00B43990"/>
    <w:rsid w:val="00B43FFB"/>
    <w:rsid w:val="00B44C6C"/>
    <w:rsid w:val="00B4594E"/>
    <w:rsid w:val="00B46861"/>
    <w:rsid w:val="00B46CD5"/>
    <w:rsid w:val="00B52697"/>
    <w:rsid w:val="00B54473"/>
    <w:rsid w:val="00B553F2"/>
    <w:rsid w:val="00B55995"/>
    <w:rsid w:val="00B57063"/>
    <w:rsid w:val="00B6004C"/>
    <w:rsid w:val="00B60293"/>
    <w:rsid w:val="00B60671"/>
    <w:rsid w:val="00B60975"/>
    <w:rsid w:val="00B60A3B"/>
    <w:rsid w:val="00B60A54"/>
    <w:rsid w:val="00B62360"/>
    <w:rsid w:val="00B627D4"/>
    <w:rsid w:val="00B63027"/>
    <w:rsid w:val="00B6305A"/>
    <w:rsid w:val="00B63631"/>
    <w:rsid w:val="00B6435B"/>
    <w:rsid w:val="00B6444E"/>
    <w:rsid w:val="00B64AA8"/>
    <w:rsid w:val="00B655C1"/>
    <w:rsid w:val="00B6679C"/>
    <w:rsid w:val="00B66878"/>
    <w:rsid w:val="00B66951"/>
    <w:rsid w:val="00B66BCE"/>
    <w:rsid w:val="00B67104"/>
    <w:rsid w:val="00B67245"/>
    <w:rsid w:val="00B67373"/>
    <w:rsid w:val="00B701F3"/>
    <w:rsid w:val="00B70469"/>
    <w:rsid w:val="00B70CD9"/>
    <w:rsid w:val="00B712F1"/>
    <w:rsid w:val="00B7359D"/>
    <w:rsid w:val="00B73A7A"/>
    <w:rsid w:val="00B73B28"/>
    <w:rsid w:val="00B73DCE"/>
    <w:rsid w:val="00B74A87"/>
    <w:rsid w:val="00B74DD1"/>
    <w:rsid w:val="00B75462"/>
    <w:rsid w:val="00B75A6D"/>
    <w:rsid w:val="00B7612C"/>
    <w:rsid w:val="00B7666F"/>
    <w:rsid w:val="00B77BBA"/>
    <w:rsid w:val="00B806A4"/>
    <w:rsid w:val="00B80EF3"/>
    <w:rsid w:val="00B81936"/>
    <w:rsid w:val="00B82667"/>
    <w:rsid w:val="00B840E8"/>
    <w:rsid w:val="00B845D6"/>
    <w:rsid w:val="00B84EA6"/>
    <w:rsid w:val="00B854A8"/>
    <w:rsid w:val="00B857F8"/>
    <w:rsid w:val="00B86193"/>
    <w:rsid w:val="00B8621D"/>
    <w:rsid w:val="00B87145"/>
    <w:rsid w:val="00B90482"/>
    <w:rsid w:val="00B9086E"/>
    <w:rsid w:val="00B91222"/>
    <w:rsid w:val="00B91B41"/>
    <w:rsid w:val="00B9227D"/>
    <w:rsid w:val="00B92407"/>
    <w:rsid w:val="00B92E16"/>
    <w:rsid w:val="00B93098"/>
    <w:rsid w:val="00B93653"/>
    <w:rsid w:val="00B9382A"/>
    <w:rsid w:val="00B93BAB"/>
    <w:rsid w:val="00B94277"/>
    <w:rsid w:val="00B955CE"/>
    <w:rsid w:val="00B955FE"/>
    <w:rsid w:val="00B95CEE"/>
    <w:rsid w:val="00B96401"/>
    <w:rsid w:val="00B96607"/>
    <w:rsid w:val="00B966FF"/>
    <w:rsid w:val="00B96BB0"/>
    <w:rsid w:val="00B96C51"/>
    <w:rsid w:val="00B970D1"/>
    <w:rsid w:val="00B97488"/>
    <w:rsid w:val="00BA2070"/>
    <w:rsid w:val="00BA223E"/>
    <w:rsid w:val="00BA2523"/>
    <w:rsid w:val="00BA29DC"/>
    <w:rsid w:val="00BA2B32"/>
    <w:rsid w:val="00BA3825"/>
    <w:rsid w:val="00BA4937"/>
    <w:rsid w:val="00BA49CD"/>
    <w:rsid w:val="00BA5788"/>
    <w:rsid w:val="00BA5867"/>
    <w:rsid w:val="00BA5CB4"/>
    <w:rsid w:val="00BA7F93"/>
    <w:rsid w:val="00BA7FAD"/>
    <w:rsid w:val="00BB0A75"/>
    <w:rsid w:val="00BB156B"/>
    <w:rsid w:val="00BB1595"/>
    <w:rsid w:val="00BB228E"/>
    <w:rsid w:val="00BB26C8"/>
    <w:rsid w:val="00BB2FA3"/>
    <w:rsid w:val="00BB4840"/>
    <w:rsid w:val="00BB6FB4"/>
    <w:rsid w:val="00BB71AB"/>
    <w:rsid w:val="00BB7567"/>
    <w:rsid w:val="00BB76F3"/>
    <w:rsid w:val="00BB7DC3"/>
    <w:rsid w:val="00BC02EC"/>
    <w:rsid w:val="00BC041B"/>
    <w:rsid w:val="00BC0624"/>
    <w:rsid w:val="00BC0F2E"/>
    <w:rsid w:val="00BC228B"/>
    <w:rsid w:val="00BC2350"/>
    <w:rsid w:val="00BC243C"/>
    <w:rsid w:val="00BC2D4C"/>
    <w:rsid w:val="00BC3768"/>
    <w:rsid w:val="00BC3DD1"/>
    <w:rsid w:val="00BC4328"/>
    <w:rsid w:val="00BC495B"/>
    <w:rsid w:val="00BC4AAA"/>
    <w:rsid w:val="00BC5452"/>
    <w:rsid w:val="00BC557D"/>
    <w:rsid w:val="00BC5783"/>
    <w:rsid w:val="00BC6999"/>
    <w:rsid w:val="00BC69D8"/>
    <w:rsid w:val="00BC79E1"/>
    <w:rsid w:val="00BC7F77"/>
    <w:rsid w:val="00BD0D7F"/>
    <w:rsid w:val="00BD1027"/>
    <w:rsid w:val="00BD1474"/>
    <w:rsid w:val="00BD169C"/>
    <w:rsid w:val="00BD16F3"/>
    <w:rsid w:val="00BD20E7"/>
    <w:rsid w:val="00BD3007"/>
    <w:rsid w:val="00BD3081"/>
    <w:rsid w:val="00BD45B8"/>
    <w:rsid w:val="00BD4E1E"/>
    <w:rsid w:val="00BD634D"/>
    <w:rsid w:val="00BD6929"/>
    <w:rsid w:val="00BD7095"/>
    <w:rsid w:val="00BD747A"/>
    <w:rsid w:val="00BD79AD"/>
    <w:rsid w:val="00BE0489"/>
    <w:rsid w:val="00BE089F"/>
    <w:rsid w:val="00BE0AE2"/>
    <w:rsid w:val="00BE1068"/>
    <w:rsid w:val="00BE10E1"/>
    <w:rsid w:val="00BE13FC"/>
    <w:rsid w:val="00BE18EC"/>
    <w:rsid w:val="00BE1A6D"/>
    <w:rsid w:val="00BE1F7E"/>
    <w:rsid w:val="00BE227E"/>
    <w:rsid w:val="00BE2DE9"/>
    <w:rsid w:val="00BE326A"/>
    <w:rsid w:val="00BE37AE"/>
    <w:rsid w:val="00BE3A72"/>
    <w:rsid w:val="00BE3E06"/>
    <w:rsid w:val="00BE49DA"/>
    <w:rsid w:val="00BE4DA0"/>
    <w:rsid w:val="00BE4F6E"/>
    <w:rsid w:val="00BE5893"/>
    <w:rsid w:val="00BE60CF"/>
    <w:rsid w:val="00BE6AED"/>
    <w:rsid w:val="00BE6F25"/>
    <w:rsid w:val="00BE7528"/>
    <w:rsid w:val="00BE7632"/>
    <w:rsid w:val="00BE7B41"/>
    <w:rsid w:val="00BF118B"/>
    <w:rsid w:val="00BF1832"/>
    <w:rsid w:val="00BF1D3D"/>
    <w:rsid w:val="00BF1E65"/>
    <w:rsid w:val="00BF35AD"/>
    <w:rsid w:val="00BF4E44"/>
    <w:rsid w:val="00BF5593"/>
    <w:rsid w:val="00BF65D7"/>
    <w:rsid w:val="00BF6B4D"/>
    <w:rsid w:val="00BF7513"/>
    <w:rsid w:val="00BF75A8"/>
    <w:rsid w:val="00C00488"/>
    <w:rsid w:val="00C0166F"/>
    <w:rsid w:val="00C0249F"/>
    <w:rsid w:val="00C02916"/>
    <w:rsid w:val="00C02D24"/>
    <w:rsid w:val="00C058F8"/>
    <w:rsid w:val="00C05B98"/>
    <w:rsid w:val="00C064A2"/>
    <w:rsid w:val="00C0660B"/>
    <w:rsid w:val="00C07300"/>
    <w:rsid w:val="00C07416"/>
    <w:rsid w:val="00C075FD"/>
    <w:rsid w:val="00C107F1"/>
    <w:rsid w:val="00C10F1F"/>
    <w:rsid w:val="00C125E9"/>
    <w:rsid w:val="00C12E9F"/>
    <w:rsid w:val="00C13ADB"/>
    <w:rsid w:val="00C14452"/>
    <w:rsid w:val="00C144E5"/>
    <w:rsid w:val="00C1456D"/>
    <w:rsid w:val="00C15077"/>
    <w:rsid w:val="00C153A4"/>
    <w:rsid w:val="00C16219"/>
    <w:rsid w:val="00C16A96"/>
    <w:rsid w:val="00C17AE2"/>
    <w:rsid w:val="00C20930"/>
    <w:rsid w:val="00C209A0"/>
    <w:rsid w:val="00C20CAC"/>
    <w:rsid w:val="00C210F5"/>
    <w:rsid w:val="00C21954"/>
    <w:rsid w:val="00C21E4B"/>
    <w:rsid w:val="00C22659"/>
    <w:rsid w:val="00C22CE5"/>
    <w:rsid w:val="00C2375C"/>
    <w:rsid w:val="00C238F0"/>
    <w:rsid w:val="00C23D82"/>
    <w:rsid w:val="00C2434F"/>
    <w:rsid w:val="00C26359"/>
    <w:rsid w:val="00C269A0"/>
    <w:rsid w:val="00C26B46"/>
    <w:rsid w:val="00C26CEB"/>
    <w:rsid w:val="00C27357"/>
    <w:rsid w:val="00C27947"/>
    <w:rsid w:val="00C279D3"/>
    <w:rsid w:val="00C30D28"/>
    <w:rsid w:val="00C3116E"/>
    <w:rsid w:val="00C314F1"/>
    <w:rsid w:val="00C31696"/>
    <w:rsid w:val="00C31E39"/>
    <w:rsid w:val="00C32DD4"/>
    <w:rsid w:val="00C35478"/>
    <w:rsid w:val="00C35A7C"/>
    <w:rsid w:val="00C35C1B"/>
    <w:rsid w:val="00C3787A"/>
    <w:rsid w:val="00C37B2C"/>
    <w:rsid w:val="00C40C45"/>
    <w:rsid w:val="00C41DD0"/>
    <w:rsid w:val="00C41EB8"/>
    <w:rsid w:val="00C43FBC"/>
    <w:rsid w:val="00C4430D"/>
    <w:rsid w:val="00C44EBD"/>
    <w:rsid w:val="00C4630B"/>
    <w:rsid w:val="00C46319"/>
    <w:rsid w:val="00C46499"/>
    <w:rsid w:val="00C46877"/>
    <w:rsid w:val="00C46F45"/>
    <w:rsid w:val="00C477F9"/>
    <w:rsid w:val="00C4795C"/>
    <w:rsid w:val="00C47ECE"/>
    <w:rsid w:val="00C47FF6"/>
    <w:rsid w:val="00C501A3"/>
    <w:rsid w:val="00C501C5"/>
    <w:rsid w:val="00C501EE"/>
    <w:rsid w:val="00C505AC"/>
    <w:rsid w:val="00C505F5"/>
    <w:rsid w:val="00C51207"/>
    <w:rsid w:val="00C51CB3"/>
    <w:rsid w:val="00C51DE4"/>
    <w:rsid w:val="00C52254"/>
    <w:rsid w:val="00C52354"/>
    <w:rsid w:val="00C528B5"/>
    <w:rsid w:val="00C52D84"/>
    <w:rsid w:val="00C52E34"/>
    <w:rsid w:val="00C5325A"/>
    <w:rsid w:val="00C5384C"/>
    <w:rsid w:val="00C53B2A"/>
    <w:rsid w:val="00C5404F"/>
    <w:rsid w:val="00C554A6"/>
    <w:rsid w:val="00C554EA"/>
    <w:rsid w:val="00C56C66"/>
    <w:rsid w:val="00C601EE"/>
    <w:rsid w:val="00C604F8"/>
    <w:rsid w:val="00C61787"/>
    <w:rsid w:val="00C621BA"/>
    <w:rsid w:val="00C6301D"/>
    <w:rsid w:val="00C63D31"/>
    <w:rsid w:val="00C63F78"/>
    <w:rsid w:val="00C63FFD"/>
    <w:rsid w:val="00C651F6"/>
    <w:rsid w:val="00C65C41"/>
    <w:rsid w:val="00C65FD0"/>
    <w:rsid w:val="00C67A42"/>
    <w:rsid w:val="00C701FE"/>
    <w:rsid w:val="00C70690"/>
    <w:rsid w:val="00C706A2"/>
    <w:rsid w:val="00C70D8D"/>
    <w:rsid w:val="00C7182E"/>
    <w:rsid w:val="00C71E1E"/>
    <w:rsid w:val="00C72A2F"/>
    <w:rsid w:val="00C739D5"/>
    <w:rsid w:val="00C74227"/>
    <w:rsid w:val="00C745A3"/>
    <w:rsid w:val="00C74A73"/>
    <w:rsid w:val="00C75113"/>
    <w:rsid w:val="00C7570D"/>
    <w:rsid w:val="00C758DB"/>
    <w:rsid w:val="00C75F0D"/>
    <w:rsid w:val="00C761D4"/>
    <w:rsid w:val="00C762EE"/>
    <w:rsid w:val="00C7679A"/>
    <w:rsid w:val="00C76E4D"/>
    <w:rsid w:val="00C77392"/>
    <w:rsid w:val="00C777BF"/>
    <w:rsid w:val="00C80319"/>
    <w:rsid w:val="00C80356"/>
    <w:rsid w:val="00C80AE7"/>
    <w:rsid w:val="00C80B52"/>
    <w:rsid w:val="00C811AE"/>
    <w:rsid w:val="00C81292"/>
    <w:rsid w:val="00C815CF"/>
    <w:rsid w:val="00C82B77"/>
    <w:rsid w:val="00C82F88"/>
    <w:rsid w:val="00C82FFA"/>
    <w:rsid w:val="00C836E2"/>
    <w:rsid w:val="00C838D8"/>
    <w:rsid w:val="00C840A7"/>
    <w:rsid w:val="00C853F8"/>
    <w:rsid w:val="00C85688"/>
    <w:rsid w:val="00C85B94"/>
    <w:rsid w:val="00C86B21"/>
    <w:rsid w:val="00C872DB"/>
    <w:rsid w:val="00C872F5"/>
    <w:rsid w:val="00C876B4"/>
    <w:rsid w:val="00C878A8"/>
    <w:rsid w:val="00C904ED"/>
    <w:rsid w:val="00C906FA"/>
    <w:rsid w:val="00C91607"/>
    <w:rsid w:val="00C916EF"/>
    <w:rsid w:val="00C91CD9"/>
    <w:rsid w:val="00C91FAC"/>
    <w:rsid w:val="00C92AC5"/>
    <w:rsid w:val="00C92EEE"/>
    <w:rsid w:val="00C9337C"/>
    <w:rsid w:val="00C93454"/>
    <w:rsid w:val="00C93A07"/>
    <w:rsid w:val="00C9575A"/>
    <w:rsid w:val="00C95B39"/>
    <w:rsid w:val="00C96687"/>
    <w:rsid w:val="00C9691E"/>
    <w:rsid w:val="00C97000"/>
    <w:rsid w:val="00C9724B"/>
    <w:rsid w:val="00CA04C7"/>
    <w:rsid w:val="00CA072B"/>
    <w:rsid w:val="00CA07F2"/>
    <w:rsid w:val="00CA14AA"/>
    <w:rsid w:val="00CA182D"/>
    <w:rsid w:val="00CA19EC"/>
    <w:rsid w:val="00CA1B97"/>
    <w:rsid w:val="00CA2991"/>
    <w:rsid w:val="00CA2EAB"/>
    <w:rsid w:val="00CA46F0"/>
    <w:rsid w:val="00CA47E2"/>
    <w:rsid w:val="00CA4951"/>
    <w:rsid w:val="00CA4C6D"/>
    <w:rsid w:val="00CA5FB4"/>
    <w:rsid w:val="00CA68DB"/>
    <w:rsid w:val="00CA6EB1"/>
    <w:rsid w:val="00CA70B4"/>
    <w:rsid w:val="00CA7B77"/>
    <w:rsid w:val="00CA7E1F"/>
    <w:rsid w:val="00CB092F"/>
    <w:rsid w:val="00CB175A"/>
    <w:rsid w:val="00CB1B6B"/>
    <w:rsid w:val="00CB2A3D"/>
    <w:rsid w:val="00CB3A7E"/>
    <w:rsid w:val="00CB406D"/>
    <w:rsid w:val="00CB48DE"/>
    <w:rsid w:val="00CB5888"/>
    <w:rsid w:val="00CB5A49"/>
    <w:rsid w:val="00CB61F0"/>
    <w:rsid w:val="00CB754C"/>
    <w:rsid w:val="00CB76CF"/>
    <w:rsid w:val="00CC06DF"/>
    <w:rsid w:val="00CC14A0"/>
    <w:rsid w:val="00CC295E"/>
    <w:rsid w:val="00CC403E"/>
    <w:rsid w:val="00CC4739"/>
    <w:rsid w:val="00CC4764"/>
    <w:rsid w:val="00CC4A90"/>
    <w:rsid w:val="00CC65D0"/>
    <w:rsid w:val="00CC693E"/>
    <w:rsid w:val="00CC7177"/>
    <w:rsid w:val="00CC74B1"/>
    <w:rsid w:val="00CD0485"/>
    <w:rsid w:val="00CD1F6E"/>
    <w:rsid w:val="00CD226C"/>
    <w:rsid w:val="00CD2D83"/>
    <w:rsid w:val="00CD38F1"/>
    <w:rsid w:val="00CD6F02"/>
    <w:rsid w:val="00CD6F66"/>
    <w:rsid w:val="00CE0237"/>
    <w:rsid w:val="00CE04E1"/>
    <w:rsid w:val="00CE079D"/>
    <w:rsid w:val="00CE131E"/>
    <w:rsid w:val="00CE3008"/>
    <w:rsid w:val="00CE38D7"/>
    <w:rsid w:val="00CE398C"/>
    <w:rsid w:val="00CE3AAE"/>
    <w:rsid w:val="00CE3CA3"/>
    <w:rsid w:val="00CE4962"/>
    <w:rsid w:val="00CE4A5F"/>
    <w:rsid w:val="00CE550D"/>
    <w:rsid w:val="00CE57D2"/>
    <w:rsid w:val="00CE69BB"/>
    <w:rsid w:val="00CE69C2"/>
    <w:rsid w:val="00CE7916"/>
    <w:rsid w:val="00CE7C8C"/>
    <w:rsid w:val="00CF08AD"/>
    <w:rsid w:val="00CF0B0A"/>
    <w:rsid w:val="00CF0B65"/>
    <w:rsid w:val="00CF0F64"/>
    <w:rsid w:val="00CF1632"/>
    <w:rsid w:val="00CF285D"/>
    <w:rsid w:val="00CF38B3"/>
    <w:rsid w:val="00CF46EF"/>
    <w:rsid w:val="00CF4BD6"/>
    <w:rsid w:val="00CF5A07"/>
    <w:rsid w:val="00CF5B52"/>
    <w:rsid w:val="00CF6017"/>
    <w:rsid w:val="00CF602D"/>
    <w:rsid w:val="00CF637D"/>
    <w:rsid w:val="00CF6DEB"/>
    <w:rsid w:val="00CF6F8D"/>
    <w:rsid w:val="00CF72D7"/>
    <w:rsid w:val="00CF762F"/>
    <w:rsid w:val="00D00230"/>
    <w:rsid w:val="00D00F14"/>
    <w:rsid w:val="00D01504"/>
    <w:rsid w:val="00D01E42"/>
    <w:rsid w:val="00D020E6"/>
    <w:rsid w:val="00D0230B"/>
    <w:rsid w:val="00D03056"/>
    <w:rsid w:val="00D04134"/>
    <w:rsid w:val="00D0431C"/>
    <w:rsid w:val="00D047CB"/>
    <w:rsid w:val="00D04AAE"/>
    <w:rsid w:val="00D04F6B"/>
    <w:rsid w:val="00D05094"/>
    <w:rsid w:val="00D06F88"/>
    <w:rsid w:val="00D102BF"/>
    <w:rsid w:val="00D10ACA"/>
    <w:rsid w:val="00D1115C"/>
    <w:rsid w:val="00D1263D"/>
    <w:rsid w:val="00D12963"/>
    <w:rsid w:val="00D12ACF"/>
    <w:rsid w:val="00D12D46"/>
    <w:rsid w:val="00D13787"/>
    <w:rsid w:val="00D139BE"/>
    <w:rsid w:val="00D13CBF"/>
    <w:rsid w:val="00D149F7"/>
    <w:rsid w:val="00D14C37"/>
    <w:rsid w:val="00D155E0"/>
    <w:rsid w:val="00D156A3"/>
    <w:rsid w:val="00D15C1A"/>
    <w:rsid w:val="00D16413"/>
    <w:rsid w:val="00D16BEF"/>
    <w:rsid w:val="00D17093"/>
    <w:rsid w:val="00D17401"/>
    <w:rsid w:val="00D1792D"/>
    <w:rsid w:val="00D17ECA"/>
    <w:rsid w:val="00D20529"/>
    <w:rsid w:val="00D205D7"/>
    <w:rsid w:val="00D20A82"/>
    <w:rsid w:val="00D20AAE"/>
    <w:rsid w:val="00D20B79"/>
    <w:rsid w:val="00D20C80"/>
    <w:rsid w:val="00D2102C"/>
    <w:rsid w:val="00D217B5"/>
    <w:rsid w:val="00D21F50"/>
    <w:rsid w:val="00D2263E"/>
    <w:rsid w:val="00D2274F"/>
    <w:rsid w:val="00D22BAE"/>
    <w:rsid w:val="00D22ED8"/>
    <w:rsid w:val="00D239F2"/>
    <w:rsid w:val="00D240D9"/>
    <w:rsid w:val="00D24C77"/>
    <w:rsid w:val="00D25CAF"/>
    <w:rsid w:val="00D26584"/>
    <w:rsid w:val="00D26E3A"/>
    <w:rsid w:val="00D30F4C"/>
    <w:rsid w:val="00D327B4"/>
    <w:rsid w:val="00D32D93"/>
    <w:rsid w:val="00D33022"/>
    <w:rsid w:val="00D334DB"/>
    <w:rsid w:val="00D33EE3"/>
    <w:rsid w:val="00D3404F"/>
    <w:rsid w:val="00D3480F"/>
    <w:rsid w:val="00D351A9"/>
    <w:rsid w:val="00D35CFA"/>
    <w:rsid w:val="00D364B6"/>
    <w:rsid w:val="00D36C44"/>
    <w:rsid w:val="00D375AE"/>
    <w:rsid w:val="00D37847"/>
    <w:rsid w:val="00D40A18"/>
    <w:rsid w:val="00D41C85"/>
    <w:rsid w:val="00D41EB9"/>
    <w:rsid w:val="00D42A51"/>
    <w:rsid w:val="00D43B70"/>
    <w:rsid w:val="00D43BD3"/>
    <w:rsid w:val="00D43DC2"/>
    <w:rsid w:val="00D443E1"/>
    <w:rsid w:val="00D44FDC"/>
    <w:rsid w:val="00D458E8"/>
    <w:rsid w:val="00D45A96"/>
    <w:rsid w:val="00D45C1E"/>
    <w:rsid w:val="00D464B8"/>
    <w:rsid w:val="00D4679D"/>
    <w:rsid w:val="00D46B0E"/>
    <w:rsid w:val="00D46E29"/>
    <w:rsid w:val="00D475F1"/>
    <w:rsid w:val="00D47728"/>
    <w:rsid w:val="00D47FD1"/>
    <w:rsid w:val="00D50C31"/>
    <w:rsid w:val="00D518EA"/>
    <w:rsid w:val="00D5225D"/>
    <w:rsid w:val="00D5327D"/>
    <w:rsid w:val="00D54652"/>
    <w:rsid w:val="00D5633F"/>
    <w:rsid w:val="00D56AF7"/>
    <w:rsid w:val="00D56F0E"/>
    <w:rsid w:val="00D575B0"/>
    <w:rsid w:val="00D60592"/>
    <w:rsid w:val="00D61456"/>
    <w:rsid w:val="00D61AF9"/>
    <w:rsid w:val="00D61CE8"/>
    <w:rsid w:val="00D61FEF"/>
    <w:rsid w:val="00D62FF6"/>
    <w:rsid w:val="00D63CD2"/>
    <w:rsid w:val="00D64CD9"/>
    <w:rsid w:val="00D65313"/>
    <w:rsid w:val="00D6612B"/>
    <w:rsid w:val="00D70294"/>
    <w:rsid w:val="00D702F6"/>
    <w:rsid w:val="00D71225"/>
    <w:rsid w:val="00D716F7"/>
    <w:rsid w:val="00D71789"/>
    <w:rsid w:val="00D7383F"/>
    <w:rsid w:val="00D742A6"/>
    <w:rsid w:val="00D743AB"/>
    <w:rsid w:val="00D745C8"/>
    <w:rsid w:val="00D75CC0"/>
    <w:rsid w:val="00D76428"/>
    <w:rsid w:val="00D76441"/>
    <w:rsid w:val="00D768B0"/>
    <w:rsid w:val="00D77593"/>
    <w:rsid w:val="00D779F4"/>
    <w:rsid w:val="00D80540"/>
    <w:rsid w:val="00D80848"/>
    <w:rsid w:val="00D810CC"/>
    <w:rsid w:val="00D81ED4"/>
    <w:rsid w:val="00D8229A"/>
    <w:rsid w:val="00D8269B"/>
    <w:rsid w:val="00D826EC"/>
    <w:rsid w:val="00D83ED1"/>
    <w:rsid w:val="00D83F59"/>
    <w:rsid w:val="00D83FA4"/>
    <w:rsid w:val="00D84251"/>
    <w:rsid w:val="00D84925"/>
    <w:rsid w:val="00D84AA5"/>
    <w:rsid w:val="00D84F66"/>
    <w:rsid w:val="00D85806"/>
    <w:rsid w:val="00D85B4F"/>
    <w:rsid w:val="00D85F71"/>
    <w:rsid w:val="00D86099"/>
    <w:rsid w:val="00D864F5"/>
    <w:rsid w:val="00D86681"/>
    <w:rsid w:val="00D86BB9"/>
    <w:rsid w:val="00D870DC"/>
    <w:rsid w:val="00D87774"/>
    <w:rsid w:val="00D900F1"/>
    <w:rsid w:val="00D92427"/>
    <w:rsid w:val="00D926CC"/>
    <w:rsid w:val="00D92A2D"/>
    <w:rsid w:val="00D9303F"/>
    <w:rsid w:val="00D93B75"/>
    <w:rsid w:val="00D93DDC"/>
    <w:rsid w:val="00D94680"/>
    <w:rsid w:val="00D94710"/>
    <w:rsid w:val="00D94762"/>
    <w:rsid w:val="00D94952"/>
    <w:rsid w:val="00D94A99"/>
    <w:rsid w:val="00D94F9B"/>
    <w:rsid w:val="00D95784"/>
    <w:rsid w:val="00D95BC1"/>
    <w:rsid w:val="00D95E36"/>
    <w:rsid w:val="00D96CD8"/>
    <w:rsid w:val="00D96EC7"/>
    <w:rsid w:val="00D975D3"/>
    <w:rsid w:val="00D97846"/>
    <w:rsid w:val="00D97F6F"/>
    <w:rsid w:val="00DA00AB"/>
    <w:rsid w:val="00DA0BE5"/>
    <w:rsid w:val="00DA13FC"/>
    <w:rsid w:val="00DA1EBA"/>
    <w:rsid w:val="00DA249B"/>
    <w:rsid w:val="00DA3404"/>
    <w:rsid w:val="00DA350B"/>
    <w:rsid w:val="00DA3930"/>
    <w:rsid w:val="00DA407D"/>
    <w:rsid w:val="00DA4E56"/>
    <w:rsid w:val="00DA508F"/>
    <w:rsid w:val="00DA546C"/>
    <w:rsid w:val="00DA6532"/>
    <w:rsid w:val="00DA7115"/>
    <w:rsid w:val="00DB0292"/>
    <w:rsid w:val="00DB06BE"/>
    <w:rsid w:val="00DB0A4F"/>
    <w:rsid w:val="00DB0F6C"/>
    <w:rsid w:val="00DB0FF1"/>
    <w:rsid w:val="00DB19E1"/>
    <w:rsid w:val="00DB31E4"/>
    <w:rsid w:val="00DB400E"/>
    <w:rsid w:val="00DB4A1F"/>
    <w:rsid w:val="00DB5525"/>
    <w:rsid w:val="00DB65B5"/>
    <w:rsid w:val="00DB6A4D"/>
    <w:rsid w:val="00DB6C00"/>
    <w:rsid w:val="00DB7228"/>
    <w:rsid w:val="00DB7B25"/>
    <w:rsid w:val="00DB7B57"/>
    <w:rsid w:val="00DB7B92"/>
    <w:rsid w:val="00DC0AEA"/>
    <w:rsid w:val="00DC0D8B"/>
    <w:rsid w:val="00DC1A4A"/>
    <w:rsid w:val="00DC2202"/>
    <w:rsid w:val="00DC2400"/>
    <w:rsid w:val="00DC2843"/>
    <w:rsid w:val="00DC29B5"/>
    <w:rsid w:val="00DC2D10"/>
    <w:rsid w:val="00DC2FFE"/>
    <w:rsid w:val="00DC39C8"/>
    <w:rsid w:val="00DC4D84"/>
    <w:rsid w:val="00DC688C"/>
    <w:rsid w:val="00DC6B88"/>
    <w:rsid w:val="00DC6BC8"/>
    <w:rsid w:val="00DC71E8"/>
    <w:rsid w:val="00DD05E4"/>
    <w:rsid w:val="00DD0E05"/>
    <w:rsid w:val="00DD0EF9"/>
    <w:rsid w:val="00DD0F90"/>
    <w:rsid w:val="00DD124A"/>
    <w:rsid w:val="00DD19E4"/>
    <w:rsid w:val="00DD23CB"/>
    <w:rsid w:val="00DD3522"/>
    <w:rsid w:val="00DD4771"/>
    <w:rsid w:val="00DD4BE2"/>
    <w:rsid w:val="00DD4F95"/>
    <w:rsid w:val="00DD5F6B"/>
    <w:rsid w:val="00DD66C3"/>
    <w:rsid w:val="00DD6D79"/>
    <w:rsid w:val="00DD6FE2"/>
    <w:rsid w:val="00DD7BEA"/>
    <w:rsid w:val="00DD7CA3"/>
    <w:rsid w:val="00DE08BB"/>
    <w:rsid w:val="00DE11A3"/>
    <w:rsid w:val="00DE1709"/>
    <w:rsid w:val="00DE260A"/>
    <w:rsid w:val="00DE3310"/>
    <w:rsid w:val="00DE458E"/>
    <w:rsid w:val="00DE4DA1"/>
    <w:rsid w:val="00DE6281"/>
    <w:rsid w:val="00DE707F"/>
    <w:rsid w:val="00DE71CD"/>
    <w:rsid w:val="00DE7617"/>
    <w:rsid w:val="00DE7742"/>
    <w:rsid w:val="00DF01AF"/>
    <w:rsid w:val="00DF073C"/>
    <w:rsid w:val="00DF08AF"/>
    <w:rsid w:val="00DF1388"/>
    <w:rsid w:val="00DF2EF1"/>
    <w:rsid w:val="00DF34C4"/>
    <w:rsid w:val="00DF3744"/>
    <w:rsid w:val="00DF3876"/>
    <w:rsid w:val="00DF5257"/>
    <w:rsid w:val="00DF5EF5"/>
    <w:rsid w:val="00DF6928"/>
    <w:rsid w:val="00DF6BC0"/>
    <w:rsid w:val="00DF71C5"/>
    <w:rsid w:val="00DF7622"/>
    <w:rsid w:val="00E00B99"/>
    <w:rsid w:val="00E01696"/>
    <w:rsid w:val="00E01814"/>
    <w:rsid w:val="00E01948"/>
    <w:rsid w:val="00E02468"/>
    <w:rsid w:val="00E039C4"/>
    <w:rsid w:val="00E0428A"/>
    <w:rsid w:val="00E04A34"/>
    <w:rsid w:val="00E050F6"/>
    <w:rsid w:val="00E066EE"/>
    <w:rsid w:val="00E0672C"/>
    <w:rsid w:val="00E07151"/>
    <w:rsid w:val="00E07246"/>
    <w:rsid w:val="00E07866"/>
    <w:rsid w:val="00E07F84"/>
    <w:rsid w:val="00E104DB"/>
    <w:rsid w:val="00E10F9C"/>
    <w:rsid w:val="00E111AD"/>
    <w:rsid w:val="00E11D11"/>
    <w:rsid w:val="00E1203D"/>
    <w:rsid w:val="00E12426"/>
    <w:rsid w:val="00E131A8"/>
    <w:rsid w:val="00E1453F"/>
    <w:rsid w:val="00E147DE"/>
    <w:rsid w:val="00E1503A"/>
    <w:rsid w:val="00E1508F"/>
    <w:rsid w:val="00E1726F"/>
    <w:rsid w:val="00E1733E"/>
    <w:rsid w:val="00E20058"/>
    <w:rsid w:val="00E20491"/>
    <w:rsid w:val="00E20E9E"/>
    <w:rsid w:val="00E21647"/>
    <w:rsid w:val="00E2169B"/>
    <w:rsid w:val="00E21756"/>
    <w:rsid w:val="00E21FCB"/>
    <w:rsid w:val="00E2278B"/>
    <w:rsid w:val="00E22D98"/>
    <w:rsid w:val="00E230F9"/>
    <w:rsid w:val="00E2326C"/>
    <w:rsid w:val="00E25760"/>
    <w:rsid w:val="00E26700"/>
    <w:rsid w:val="00E268D9"/>
    <w:rsid w:val="00E272F3"/>
    <w:rsid w:val="00E27465"/>
    <w:rsid w:val="00E279C7"/>
    <w:rsid w:val="00E30029"/>
    <w:rsid w:val="00E312A1"/>
    <w:rsid w:val="00E31B3C"/>
    <w:rsid w:val="00E31C42"/>
    <w:rsid w:val="00E31E17"/>
    <w:rsid w:val="00E32BA3"/>
    <w:rsid w:val="00E32C68"/>
    <w:rsid w:val="00E3324B"/>
    <w:rsid w:val="00E3377F"/>
    <w:rsid w:val="00E355DD"/>
    <w:rsid w:val="00E35682"/>
    <w:rsid w:val="00E35F9B"/>
    <w:rsid w:val="00E368DF"/>
    <w:rsid w:val="00E36AE1"/>
    <w:rsid w:val="00E37EB1"/>
    <w:rsid w:val="00E40262"/>
    <w:rsid w:val="00E40DDA"/>
    <w:rsid w:val="00E4197B"/>
    <w:rsid w:val="00E41CE3"/>
    <w:rsid w:val="00E43153"/>
    <w:rsid w:val="00E439CA"/>
    <w:rsid w:val="00E445ED"/>
    <w:rsid w:val="00E44747"/>
    <w:rsid w:val="00E45582"/>
    <w:rsid w:val="00E45CC9"/>
    <w:rsid w:val="00E45FF8"/>
    <w:rsid w:val="00E46EC5"/>
    <w:rsid w:val="00E47467"/>
    <w:rsid w:val="00E50C57"/>
    <w:rsid w:val="00E51E76"/>
    <w:rsid w:val="00E527FD"/>
    <w:rsid w:val="00E528A8"/>
    <w:rsid w:val="00E53927"/>
    <w:rsid w:val="00E5451C"/>
    <w:rsid w:val="00E56A20"/>
    <w:rsid w:val="00E57EAA"/>
    <w:rsid w:val="00E60818"/>
    <w:rsid w:val="00E62143"/>
    <w:rsid w:val="00E6240F"/>
    <w:rsid w:val="00E627D8"/>
    <w:rsid w:val="00E62AD6"/>
    <w:rsid w:val="00E62AEE"/>
    <w:rsid w:val="00E62E21"/>
    <w:rsid w:val="00E636FC"/>
    <w:rsid w:val="00E63DEE"/>
    <w:rsid w:val="00E64456"/>
    <w:rsid w:val="00E659FC"/>
    <w:rsid w:val="00E66335"/>
    <w:rsid w:val="00E669D8"/>
    <w:rsid w:val="00E66D90"/>
    <w:rsid w:val="00E67180"/>
    <w:rsid w:val="00E67B1F"/>
    <w:rsid w:val="00E72596"/>
    <w:rsid w:val="00E72CB5"/>
    <w:rsid w:val="00E72D2B"/>
    <w:rsid w:val="00E72EA2"/>
    <w:rsid w:val="00E741A1"/>
    <w:rsid w:val="00E743AF"/>
    <w:rsid w:val="00E7641B"/>
    <w:rsid w:val="00E767F8"/>
    <w:rsid w:val="00E775D8"/>
    <w:rsid w:val="00E80044"/>
    <w:rsid w:val="00E802FA"/>
    <w:rsid w:val="00E80A6A"/>
    <w:rsid w:val="00E8119E"/>
    <w:rsid w:val="00E824D3"/>
    <w:rsid w:val="00E82D1F"/>
    <w:rsid w:val="00E836BB"/>
    <w:rsid w:val="00E83A36"/>
    <w:rsid w:val="00E85D12"/>
    <w:rsid w:val="00E862BC"/>
    <w:rsid w:val="00E87303"/>
    <w:rsid w:val="00E906DC"/>
    <w:rsid w:val="00E91AC3"/>
    <w:rsid w:val="00E91BF8"/>
    <w:rsid w:val="00E91E1C"/>
    <w:rsid w:val="00E9235B"/>
    <w:rsid w:val="00E92AD2"/>
    <w:rsid w:val="00E92F68"/>
    <w:rsid w:val="00E93894"/>
    <w:rsid w:val="00E93A3B"/>
    <w:rsid w:val="00E9402E"/>
    <w:rsid w:val="00E944C4"/>
    <w:rsid w:val="00E94C68"/>
    <w:rsid w:val="00E95D3B"/>
    <w:rsid w:val="00E96059"/>
    <w:rsid w:val="00E96416"/>
    <w:rsid w:val="00E97286"/>
    <w:rsid w:val="00E9782E"/>
    <w:rsid w:val="00E97AB4"/>
    <w:rsid w:val="00EA09D3"/>
    <w:rsid w:val="00EA0BB7"/>
    <w:rsid w:val="00EA165A"/>
    <w:rsid w:val="00EA1C8A"/>
    <w:rsid w:val="00EA1CBD"/>
    <w:rsid w:val="00EA254E"/>
    <w:rsid w:val="00EA3D03"/>
    <w:rsid w:val="00EA40C2"/>
    <w:rsid w:val="00EA4140"/>
    <w:rsid w:val="00EA5108"/>
    <w:rsid w:val="00EA6BE8"/>
    <w:rsid w:val="00EA6FB4"/>
    <w:rsid w:val="00EB0017"/>
    <w:rsid w:val="00EB0BCC"/>
    <w:rsid w:val="00EB0EBE"/>
    <w:rsid w:val="00EB2819"/>
    <w:rsid w:val="00EB2922"/>
    <w:rsid w:val="00EB2CEB"/>
    <w:rsid w:val="00EB2CFC"/>
    <w:rsid w:val="00EB39AF"/>
    <w:rsid w:val="00EB3B83"/>
    <w:rsid w:val="00EB3F6F"/>
    <w:rsid w:val="00EB4474"/>
    <w:rsid w:val="00EB649A"/>
    <w:rsid w:val="00EB66CC"/>
    <w:rsid w:val="00EB67AC"/>
    <w:rsid w:val="00EB7376"/>
    <w:rsid w:val="00EB75C2"/>
    <w:rsid w:val="00EC0150"/>
    <w:rsid w:val="00EC0DCA"/>
    <w:rsid w:val="00EC1421"/>
    <w:rsid w:val="00EC1D22"/>
    <w:rsid w:val="00EC2884"/>
    <w:rsid w:val="00EC293A"/>
    <w:rsid w:val="00EC29CB"/>
    <w:rsid w:val="00EC2E69"/>
    <w:rsid w:val="00EC3974"/>
    <w:rsid w:val="00EC4390"/>
    <w:rsid w:val="00EC4F1A"/>
    <w:rsid w:val="00EC5FF4"/>
    <w:rsid w:val="00EC6C0C"/>
    <w:rsid w:val="00EC755A"/>
    <w:rsid w:val="00EC75CF"/>
    <w:rsid w:val="00EC7D50"/>
    <w:rsid w:val="00ED0039"/>
    <w:rsid w:val="00ED01DA"/>
    <w:rsid w:val="00ED03BF"/>
    <w:rsid w:val="00ED0F46"/>
    <w:rsid w:val="00ED18AC"/>
    <w:rsid w:val="00ED22E4"/>
    <w:rsid w:val="00ED319E"/>
    <w:rsid w:val="00ED3707"/>
    <w:rsid w:val="00ED50A1"/>
    <w:rsid w:val="00ED52B1"/>
    <w:rsid w:val="00ED5319"/>
    <w:rsid w:val="00ED5B5D"/>
    <w:rsid w:val="00ED60C9"/>
    <w:rsid w:val="00ED6399"/>
    <w:rsid w:val="00ED63F8"/>
    <w:rsid w:val="00ED72A8"/>
    <w:rsid w:val="00ED7F4F"/>
    <w:rsid w:val="00EE070D"/>
    <w:rsid w:val="00EE0D0C"/>
    <w:rsid w:val="00EE2D4A"/>
    <w:rsid w:val="00EE3220"/>
    <w:rsid w:val="00EE39E2"/>
    <w:rsid w:val="00EE46CF"/>
    <w:rsid w:val="00EE4D48"/>
    <w:rsid w:val="00EE56C2"/>
    <w:rsid w:val="00EE5984"/>
    <w:rsid w:val="00EE6856"/>
    <w:rsid w:val="00EE6DD3"/>
    <w:rsid w:val="00EE6FFC"/>
    <w:rsid w:val="00EE78AE"/>
    <w:rsid w:val="00EE7B58"/>
    <w:rsid w:val="00EF048D"/>
    <w:rsid w:val="00EF1750"/>
    <w:rsid w:val="00EF2B58"/>
    <w:rsid w:val="00EF2CE3"/>
    <w:rsid w:val="00EF2D50"/>
    <w:rsid w:val="00EF3130"/>
    <w:rsid w:val="00EF3DAE"/>
    <w:rsid w:val="00EF40C2"/>
    <w:rsid w:val="00EF5097"/>
    <w:rsid w:val="00EF5167"/>
    <w:rsid w:val="00EF5475"/>
    <w:rsid w:val="00EF55A3"/>
    <w:rsid w:val="00EF64B1"/>
    <w:rsid w:val="00EF6ECE"/>
    <w:rsid w:val="00F003B8"/>
    <w:rsid w:val="00F00D7C"/>
    <w:rsid w:val="00F02370"/>
    <w:rsid w:val="00F023C9"/>
    <w:rsid w:val="00F02530"/>
    <w:rsid w:val="00F02A94"/>
    <w:rsid w:val="00F04820"/>
    <w:rsid w:val="00F04D7C"/>
    <w:rsid w:val="00F0523E"/>
    <w:rsid w:val="00F0539E"/>
    <w:rsid w:val="00F053C0"/>
    <w:rsid w:val="00F05A03"/>
    <w:rsid w:val="00F062E1"/>
    <w:rsid w:val="00F068FB"/>
    <w:rsid w:val="00F11419"/>
    <w:rsid w:val="00F12133"/>
    <w:rsid w:val="00F1319E"/>
    <w:rsid w:val="00F133C0"/>
    <w:rsid w:val="00F14506"/>
    <w:rsid w:val="00F1479A"/>
    <w:rsid w:val="00F14DE1"/>
    <w:rsid w:val="00F152B8"/>
    <w:rsid w:val="00F153CA"/>
    <w:rsid w:val="00F15421"/>
    <w:rsid w:val="00F15C2E"/>
    <w:rsid w:val="00F17558"/>
    <w:rsid w:val="00F216E4"/>
    <w:rsid w:val="00F21BD6"/>
    <w:rsid w:val="00F22594"/>
    <w:rsid w:val="00F22CF6"/>
    <w:rsid w:val="00F22F86"/>
    <w:rsid w:val="00F23108"/>
    <w:rsid w:val="00F23410"/>
    <w:rsid w:val="00F23E6B"/>
    <w:rsid w:val="00F24092"/>
    <w:rsid w:val="00F248F8"/>
    <w:rsid w:val="00F2494E"/>
    <w:rsid w:val="00F263AA"/>
    <w:rsid w:val="00F26C6B"/>
    <w:rsid w:val="00F26FC4"/>
    <w:rsid w:val="00F301A7"/>
    <w:rsid w:val="00F30712"/>
    <w:rsid w:val="00F309E1"/>
    <w:rsid w:val="00F31704"/>
    <w:rsid w:val="00F322CD"/>
    <w:rsid w:val="00F3279C"/>
    <w:rsid w:val="00F32AE7"/>
    <w:rsid w:val="00F32CE8"/>
    <w:rsid w:val="00F32E13"/>
    <w:rsid w:val="00F3396A"/>
    <w:rsid w:val="00F33F78"/>
    <w:rsid w:val="00F353FF"/>
    <w:rsid w:val="00F355CF"/>
    <w:rsid w:val="00F35956"/>
    <w:rsid w:val="00F3601A"/>
    <w:rsid w:val="00F365F4"/>
    <w:rsid w:val="00F36AE6"/>
    <w:rsid w:val="00F37D33"/>
    <w:rsid w:val="00F40062"/>
    <w:rsid w:val="00F40409"/>
    <w:rsid w:val="00F40A89"/>
    <w:rsid w:val="00F40DAC"/>
    <w:rsid w:val="00F40DEE"/>
    <w:rsid w:val="00F42492"/>
    <w:rsid w:val="00F4440B"/>
    <w:rsid w:val="00F44422"/>
    <w:rsid w:val="00F44476"/>
    <w:rsid w:val="00F450D8"/>
    <w:rsid w:val="00F45348"/>
    <w:rsid w:val="00F45C37"/>
    <w:rsid w:val="00F45D36"/>
    <w:rsid w:val="00F46F91"/>
    <w:rsid w:val="00F476FF"/>
    <w:rsid w:val="00F50A6C"/>
    <w:rsid w:val="00F50FB3"/>
    <w:rsid w:val="00F52675"/>
    <w:rsid w:val="00F5286B"/>
    <w:rsid w:val="00F53023"/>
    <w:rsid w:val="00F53F6D"/>
    <w:rsid w:val="00F54146"/>
    <w:rsid w:val="00F5441F"/>
    <w:rsid w:val="00F546AC"/>
    <w:rsid w:val="00F54978"/>
    <w:rsid w:val="00F553C7"/>
    <w:rsid w:val="00F56160"/>
    <w:rsid w:val="00F561CA"/>
    <w:rsid w:val="00F5652E"/>
    <w:rsid w:val="00F56CE4"/>
    <w:rsid w:val="00F57106"/>
    <w:rsid w:val="00F57453"/>
    <w:rsid w:val="00F6007E"/>
    <w:rsid w:val="00F600F2"/>
    <w:rsid w:val="00F612F5"/>
    <w:rsid w:val="00F61E32"/>
    <w:rsid w:val="00F63897"/>
    <w:rsid w:val="00F639AC"/>
    <w:rsid w:val="00F64E56"/>
    <w:rsid w:val="00F653F4"/>
    <w:rsid w:val="00F66BD2"/>
    <w:rsid w:val="00F6705E"/>
    <w:rsid w:val="00F672CB"/>
    <w:rsid w:val="00F70603"/>
    <w:rsid w:val="00F70F99"/>
    <w:rsid w:val="00F71D17"/>
    <w:rsid w:val="00F724ED"/>
    <w:rsid w:val="00F73042"/>
    <w:rsid w:val="00F73439"/>
    <w:rsid w:val="00F74BD3"/>
    <w:rsid w:val="00F75376"/>
    <w:rsid w:val="00F759D7"/>
    <w:rsid w:val="00F75C79"/>
    <w:rsid w:val="00F76348"/>
    <w:rsid w:val="00F76D21"/>
    <w:rsid w:val="00F772E8"/>
    <w:rsid w:val="00F77B91"/>
    <w:rsid w:val="00F77E23"/>
    <w:rsid w:val="00F80B21"/>
    <w:rsid w:val="00F82492"/>
    <w:rsid w:val="00F82759"/>
    <w:rsid w:val="00F83771"/>
    <w:rsid w:val="00F837D4"/>
    <w:rsid w:val="00F838F7"/>
    <w:rsid w:val="00F84A60"/>
    <w:rsid w:val="00F84D67"/>
    <w:rsid w:val="00F862EC"/>
    <w:rsid w:val="00F872F0"/>
    <w:rsid w:val="00F87381"/>
    <w:rsid w:val="00F87554"/>
    <w:rsid w:val="00F90884"/>
    <w:rsid w:val="00F91B9A"/>
    <w:rsid w:val="00F92792"/>
    <w:rsid w:val="00F94B51"/>
    <w:rsid w:val="00F951AE"/>
    <w:rsid w:val="00F96575"/>
    <w:rsid w:val="00F96665"/>
    <w:rsid w:val="00F9700A"/>
    <w:rsid w:val="00F97A21"/>
    <w:rsid w:val="00F97CF2"/>
    <w:rsid w:val="00FA0322"/>
    <w:rsid w:val="00FA28CD"/>
    <w:rsid w:val="00FA29FA"/>
    <w:rsid w:val="00FA3953"/>
    <w:rsid w:val="00FA4D84"/>
    <w:rsid w:val="00FA4F1C"/>
    <w:rsid w:val="00FA5412"/>
    <w:rsid w:val="00FA6306"/>
    <w:rsid w:val="00FA6A44"/>
    <w:rsid w:val="00FA7FC9"/>
    <w:rsid w:val="00FB0E36"/>
    <w:rsid w:val="00FB1346"/>
    <w:rsid w:val="00FB1426"/>
    <w:rsid w:val="00FB3D2B"/>
    <w:rsid w:val="00FB4B57"/>
    <w:rsid w:val="00FB4E0F"/>
    <w:rsid w:val="00FB4E30"/>
    <w:rsid w:val="00FB4E7C"/>
    <w:rsid w:val="00FB62CE"/>
    <w:rsid w:val="00FB6332"/>
    <w:rsid w:val="00FB6716"/>
    <w:rsid w:val="00FB72C0"/>
    <w:rsid w:val="00FB73E3"/>
    <w:rsid w:val="00FB7479"/>
    <w:rsid w:val="00FB76F8"/>
    <w:rsid w:val="00FB7887"/>
    <w:rsid w:val="00FB7AFE"/>
    <w:rsid w:val="00FC00C8"/>
    <w:rsid w:val="00FC07F7"/>
    <w:rsid w:val="00FC0F61"/>
    <w:rsid w:val="00FC1C87"/>
    <w:rsid w:val="00FC23DF"/>
    <w:rsid w:val="00FC2A1B"/>
    <w:rsid w:val="00FC2F8A"/>
    <w:rsid w:val="00FC30F8"/>
    <w:rsid w:val="00FC3A54"/>
    <w:rsid w:val="00FC3BBF"/>
    <w:rsid w:val="00FC3CB9"/>
    <w:rsid w:val="00FC41ED"/>
    <w:rsid w:val="00FC4403"/>
    <w:rsid w:val="00FC4F4B"/>
    <w:rsid w:val="00FC5212"/>
    <w:rsid w:val="00FC68E6"/>
    <w:rsid w:val="00FC6963"/>
    <w:rsid w:val="00FC6AA4"/>
    <w:rsid w:val="00FC70F0"/>
    <w:rsid w:val="00FC7B6A"/>
    <w:rsid w:val="00FC7D8C"/>
    <w:rsid w:val="00FD0677"/>
    <w:rsid w:val="00FD1AEC"/>
    <w:rsid w:val="00FD1C4C"/>
    <w:rsid w:val="00FD2EEC"/>
    <w:rsid w:val="00FD2FC7"/>
    <w:rsid w:val="00FD3395"/>
    <w:rsid w:val="00FD4CE0"/>
    <w:rsid w:val="00FD4FB3"/>
    <w:rsid w:val="00FD62E4"/>
    <w:rsid w:val="00FD6C2E"/>
    <w:rsid w:val="00FD6C9C"/>
    <w:rsid w:val="00FD7F15"/>
    <w:rsid w:val="00FE0F9C"/>
    <w:rsid w:val="00FE1117"/>
    <w:rsid w:val="00FE12FC"/>
    <w:rsid w:val="00FE1CE1"/>
    <w:rsid w:val="00FE214D"/>
    <w:rsid w:val="00FE319A"/>
    <w:rsid w:val="00FE33FF"/>
    <w:rsid w:val="00FE361C"/>
    <w:rsid w:val="00FE38DE"/>
    <w:rsid w:val="00FE3B5D"/>
    <w:rsid w:val="00FE4C59"/>
    <w:rsid w:val="00FE58A1"/>
    <w:rsid w:val="00FE63DE"/>
    <w:rsid w:val="00FE6547"/>
    <w:rsid w:val="00FE764B"/>
    <w:rsid w:val="00FE7834"/>
    <w:rsid w:val="00FE7B67"/>
    <w:rsid w:val="00FF14E3"/>
    <w:rsid w:val="00FF1BE2"/>
    <w:rsid w:val="00FF1CD8"/>
    <w:rsid w:val="00FF1F12"/>
    <w:rsid w:val="00FF251A"/>
    <w:rsid w:val="00FF258F"/>
    <w:rsid w:val="00FF2759"/>
    <w:rsid w:val="00FF3D7A"/>
    <w:rsid w:val="00FF4145"/>
    <w:rsid w:val="00FF4276"/>
    <w:rsid w:val="00FF4502"/>
    <w:rsid w:val="00FF4BDB"/>
    <w:rsid w:val="00FF7E97"/>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43270"/>
  <w15:docId w15:val="{C7AB6F85-DCEE-4BC9-AB75-6B623822D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DD1"/>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073ED0"/>
    <w:pPr>
      <w:keepNext/>
      <w:keepLines/>
      <w:spacing w:before="40" w:after="0" w:line="259" w:lineRule="auto"/>
      <w:ind w:left="1296" w:hanging="1296"/>
      <w:outlineLvl w:val="6"/>
    </w:pPr>
    <w:rPr>
      <w:rFonts w:asciiTheme="majorHAnsi" w:eastAsiaTheme="majorEastAsia" w:hAnsiTheme="majorHAnsi" w:cstheme="majorBidi"/>
      <w:i/>
      <w:iCs/>
      <w:color w:val="244061" w:themeColor="accent1" w:themeShade="80"/>
      <w:kern w:val="2"/>
      <w:sz w:val="24"/>
      <w:lang w:val="en" w:eastAsia="en-US"/>
      <w14:ligatures w14:val="standardContextual"/>
    </w:rPr>
  </w:style>
  <w:style w:type="paragraph" w:styleId="Heading8">
    <w:name w:val="heading 8"/>
    <w:basedOn w:val="Normal"/>
    <w:next w:val="Normal"/>
    <w:link w:val="Heading8Char"/>
    <w:uiPriority w:val="9"/>
    <w:semiHidden/>
    <w:unhideWhenUsed/>
    <w:qFormat/>
    <w:rsid w:val="00073ED0"/>
    <w:pPr>
      <w:keepNext/>
      <w:keepLines/>
      <w:spacing w:before="40" w:after="0" w:line="259" w:lineRule="auto"/>
      <w:ind w:left="1440" w:hanging="1440"/>
      <w:outlineLvl w:val="7"/>
    </w:pPr>
    <w:rPr>
      <w:rFonts w:asciiTheme="majorHAnsi" w:eastAsiaTheme="majorEastAsia" w:hAnsiTheme="majorHAnsi" w:cstheme="majorBidi"/>
      <w:color w:val="262626" w:themeColor="text1" w:themeTint="D9"/>
      <w:kern w:val="2"/>
      <w:sz w:val="21"/>
      <w:szCs w:val="21"/>
      <w:lang w:val="en" w:eastAsia="en-US"/>
      <w14:ligatures w14:val="standardContextual"/>
    </w:rPr>
  </w:style>
  <w:style w:type="paragraph" w:styleId="Heading9">
    <w:name w:val="heading 9"/>
    <w:basedOn w:val="Normal"/>
    <w:next w:val="Normal"/>
    <w:link w:val="Heading9Char"/>
    <w:uiPriority w:val="9"/>
    <w:semiHidden/>
    <w:unhideWhenUsed/>
    <w:qFormat/>
    <w:rsid w:val="00073ED0"/>
    <w:pPr>
      <w:keepNext/>
      <w:keepLines/>
      <w:spacing w:before="40" w:after="0" w:line="259" w:lineRule="auto"/>
      <w:ind w:left="1584" w:hanging="1584"/>
      <w:outlineLvl w:val="8"/>
    </w:pPr>
    <w:rPr>
      <w:rFonts w:asciiTheme="majorHAnsi" w:eastAsiaTheme="majorEastAsia" w:hAnsiTheme="majorHAnsi" w:cstheme="majorBidi"/>
      <w:i/>
      <w:iCs/>
      <w:color w:val="262626" w:themeColor="text1" w:themeTint="D9"/>
      <w:kern w:val="2"/>
      <w:sz w:val="21"/>
      <w:szCs w:val="21"/>
      <w:lang w:val="e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qFormat/>
    <w:rsid w:val="0099147E"/>
    <w:rPr>
      <w:color w:val="0000FF" w:themeColor="hyperlink"/>
      <w:u w:val="single"/>
    </w:rPr>
  </w:style>
  <w:style w:type="character" w:customStyle="1" w:styleId="UnresolvedMention1">
    <w:name w:val="Unresolved Mention1"/>
    <w:basedOn w:val="DefaultParagraphFont"/>
    <w:uiPriority w:val="99"/>
    <w:semiHidden/>
    <w:unhideWhenUsed/>
    <w:qFormat/>
    <w:rsid w:val="0099147E"/>
    <w:rPr>
      <w:color w:val="605E5C"/>
      <w:shd w:val="clear" w:color="auto" w:fill="E1DFDD"/>
    </w:rPr>
  </w:style>
  <w:style w:type="paragraph" w:styleId="BodyText">
    <w:name w:val="Body Text"/>
    <w:basedOn w:val="Normal"/>
    <w:link w:val="BodyTextChar"/>
    <w:uiPriority w:val="1"/>
    <w:qFormat/>
    <w:rsid w:val="002D2D84"/>
    <w:pPr>
      <w:widowControl w:val="0"/>
      <w:autoSpaceDE w:val="0"/>
      <w:autoSpaceDN w:val="0"/>
      <w:spacing w:after="0" w:line="240" w:lineRule="auto"/>
    </w:pPr>
    <w:rPr>
      <w:rFonts w:ascii="Times New Roman" w:eastAsia="Times New Roman" w:hAnsi="Times New Roman" w:cs="Times New Roman"/>
      <w:sz w:val="20"/>
      <w:szCs w:val="20"/>
      <w:lang w:val="id" w:eastAsia="en-US"/>
    </w:rPr>
  </w:style>
  <w:style w:type="character" w:customStyle="1" w:styleId="BodyTextChar">
    <w:name w:val="Body Text Char"/>
    <w:basedOn w:val="DefaultParagraphFont"/>
    <w:link w:val="BodyText"/>
    <w:uiPriority w:val="1"/>
    <w:qFormat/>
    <w:rsid w:val="002D2D84"/>
    <w:rPr>
      <w:rFonts w:ascii="Times New Roman" w:eastAsia="Times New Roman" w:hAnsi="Times New Roman" w:cs="Times New Roman"/>
      <w:sz w:val="20"/>
      <w:szCs w:val="20"/>
      <w:lang w:val="id" w:eastAsia="en-US"/>
    </w:rPr>
  </w:style>
  <w:style w:type="table" w:styleId="TableGrid">
    <w:name w:val="Table Grid"/>
    <w:basedOn w:val="TableNormal"/>
    <w:uiPriority w:val="39"/>
    <w:qFormat/>
    <w:rsid w:val="002D2D84"/>
    <w:pPr>
      <w:widowControl w:val="0"/>
      <w:autoSpaceDE w:val="0"/>
      <w:autoSpaceDN w:val="0"/>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qFormat/>
    <w:rsid w:val="00BC3DD1"/>
    <w:pPr>
      <w:pBdr>
        <w:top w:val="nil"/>
        <w:left w:val="nil"/>
        <w:bottom w:val="nil"/>
        <w:right w:val="nil"/>
        <w:between w:val="nil"/>
      </w:pBdr>
      <w:spacing w:after="0"/>
      <w:ind w:left="360" w:hanging="36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qFormat/>
    <w:rsid w:val="00BC3DD1"/>
    <w:rPr>
      <w:rFonts w:ascii="Times New Roman" w:hAnsi="Times New Roman" w:cs="Times New Roman"/>
      <w:sz w:val="24"/>
      <w:szCs w:val="24"/>
    </w:rPr>
  </w:style>
  <w:style w:type="paragraph" w:styleId="BodyTextIndent2">
    <w:name w:val="Body Text Indent 2"/>
    <w:basedOn w:val="Normal"/>
    <w:link w:val="BodyTextIndent2Char"/>
    <w:uiPriority w:val="99"/>
    <w:unhideWhenUsed/>
    <w:qFormat/>
    <w:rsid w:val="00BC3DD1"/>
    <w:pPr>
      <w:pBdr>
        <w:top w:val="nil"/>
        <w:left w:val="nil"/>
        <w:bottom w:val="nil"/>
        <w:right w:val="nil"/>
        <w:between w:val="nil"/>
      </w:pBdr>
      <w:spacing w:before="120" w:after="120"/>
      <w:ind w:left="720" w:hanging="720"/>
      <w:jc w:val="both"/>
    </w:pPr>
    <w:rPr>
      <w:rFonts w:ascii="Times New Roman" w:eastAsia="Times New Roman" w:hAnsi="Times New Roman" w:cs="Times New Roman"/>
      <w:color w:val="000000"/>
      <w:sz w:val="24"/>
      <w:szCs w:val="24"/>
    </w:rPr>
  </w:style>
  <w:style w:type="character" w:customStyle="1" w:styleId="BodyTextIndent2Char">
    <w:name w:val="Body Text Indent 2 Char"/>
    <w:basedOn w:val="DefaultParagraphFont"/>
    <w:link w:val="BodyTextIndent2"/>
    <w:uiPriority w:val="99"/>
    <w:qFormat/>
    <w:rsid w:val="00BC3DD1"/>
    <w:rPr>
      <w:rFonts w:ascii="Times New Roman" w:eastAsia="Times New Roman" w:hAnsi="Times New Roman" w:cs="Times New Roman"/>
      <w:color w:val="000000"/>
      <w:sz w:val="24"/>
      <w:szCs w:val="24"/>
    </w:rPr>
  </w:style>
  <w:style w:type="paragraph" w:styleId="BodyTextIndent3">
    <w:name w:val="Body Text Indent 3"/>
    <w:basedOn w:val="Normal"/>
    <w:link w:val="BodyTextIndent3Char"/>
    <w:uiPriority w:val="99"/>
    <w:unhideWhenUsed/>
    <w:qFormat/>
    <w:rsid w:val="009C1E89"/>
    <w:pPr>
      <w:ind w:firstLine="567"/>
      <w:jc w:val="both"/>
    </w:pPr>
    <w:rPr>
      <w:rFonts w:ascii="Times New Roman" w:hAnsi="Times New Roman" w:cs="Times New Roman"/>
      <w:sz w:val="24"/>
      <w:lang w:val="id"/>
    </w:rPr>
  </w:style>
  <w:style w:type="character" w:customStyle="1" w:styleId="BodyTextIndent3Char">
    <w:name w:val="Body Text Indent 3 Char"/>
    <w:basedOn w:val="DefaultParagraphFont"/>
    <w:link w:val="BodyTextIndent3"/>
    <w:uiPriority w:val="99"/>
    <w:qFormat/>
    <w:rsid w:val="009C1E89"/>
    <w:rPr>
      <w:rFonts w:ascii="Times New Roman" w:hAnsi="Times New Roman" w:cs="Times New Roman"/>
      <w:sz w:val="24"/>
      <w:lang w:val="id"/>
    </w:rPr>
  </w:style>
  <w:style w:type="character" w:styleId="UnresolvedMention">
    <w:name w:val="Unresolved Mention"/>
    <w:basedOn w:val="DefaultParagraphFont"/>
    <w:uiPriority w:val="99"/>
    <w:semiHidden/>
    <w:unhideWhenUsed/>
    <w:rsid w:val="007D19D4"/>
    <w:rPr>
      <w:color w:val="605E5C"/>
      <w:shd w:val="clear" w:color="auto" w:fill="E1DFDD"/>
    </w:rPr>
  </w:style>
  <w:style w:type="paragraph" w:styleId="Header">
    <w:name w:val="header"/>
    <w:basedOn w:val="Normal"/>
    <w:link w:val="HeaderChar"/>
    <w:uiPriority w:val="99"/>
    <w:unhideWhenUsed/>
    <w:qFormat/>
    <w:rsid w:val="007D19D4"/>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7D19D4"/>
  </w:style>
  <w:style w:type="paragraph" w:styleId="Footer">
    <w:name w:val="footer"/>
    <w:basedOn w:val="Normal"/>
    <w:link w:val="FooterChar"/>
    <w:uiPriority w:val="99"/>
    <w:unhideWhenUsed/>
    <w:qFormat/>
    <w:rsid w:val="007D19D4"/>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7D19D4"/>
  </w:style>
  <w:style w:type="paragraph" w:styleId="ListParagraph">
    <w:name w:val="List Paragraph"/>
    <w:aliases w:val="Body of text,Body of text+1,Body of text+2,Body of text+3,List Paragraph11,Medium Grid 1 - Accent 21,HEADING 1,kepala 1,Body of textCxSp,soal jawab,Heading 11,Heading 111,Heading 12,Heading 13,Normal ind,sub sub sub HEADING IV nomor2,Bod"/>
    <w:basedOn w:val="Normal"/>
    <w:link w:val="ListParagraphChar"/>
    <w:uiPriority w:val="34"/>
    <w:qFormat/>
    <w:rsid w:val="00A83B08"/>
    <w:pPr>
      <w:ind w:left="720"/>
      <w:contextualSpacing/>
    </w:pPr>
  </w:style>
  <w:style w:type="character" w:customStyle="1" w:styleId="Heading1Char">
    <w:name w:val="Heading 1 Char"/>
    <w:basedOn w:val="DefaultParagraphFont"/>
    <w:link w:val="Heading1"/>
    <w:uiPriority w:val="9"/>
    <w:qFormat/>
    <w:rsid w:val="00602A58"/>
    <w:rPr>
      <w:b/>
      <w:sz w:val="48"/>
      <w:szCs w:val="48"/>
    </w:rPr>
  </w:style>
  <w:style w:type="character" w:customStyle="1" w:styleId="Heading2Char">
    <w:name w:val="Heading 2 Char"/>
    <w:basedOn w:val="DefaultParagraphFont"/>
    <w:link w:val="Heading2"/>
    <w:uiPriority w:val="9"/>
    <w:qFormat/>
    <w:rsid w:val="00602A58"/>
    <w:rPr>
      <w:rFonts w:ascii="Cambria" w:eastAsia="Cambria" w:hAnsi="Cambria" w:cs="Cambria"/>
      <w:b/>
      <w:color w:val="4F81BD"/>
      <w:sz w:val="26"/>
      <w:szCs w:val="26"/>
    </w:rPr>
  </w:style>
  <w:style w:type="character" w:styleId="PlaceholderText">
    <w:name w:val="Placeholder Text"/>
    <w:basedOn w:val="DefaultParagraphFont"/>
    <w:uiPriority w:val="99"/>
    <w:semiHidden/>
    <w:qFormat/>
    <w:rsid w:val="00602A58"/>
    <w:rPr>
      <w:color w:val="666666"/>
    </w:rPr>
  </w:style>
  <w:style w:type="paragraph" w:styleId="NormalWeb">
    <w:name w:val="Normal (Web)"/>
    <w:basedOn w:val="Normal"/>
    <w:uiPriority w:val="99"/>
    <w:unhideWhenUsed/>
    <w:qFormat/>
    <w:rsid w:val="00602A58"/>
    <w:pPr>
      <w:spacing w:after="160" w:line="259" w:lineRule="auto"/>
    </w:pPr>
    <w:rPr>
      <w:rFonts w:ascii="Times New Roman" w:eastAsiaTheme="minorHAnsi" w:hAnsi="Times New Roman" w:cs="Times New Roman"/>
      <w:kern w:val="2"/>
      <w:sz w:val="24"/>
      <w:szCs w:val="24"/>
      <w:lang w:val="en-ID" w:eastAsia="en-US"/>
      <w14:ligatures w14:val="standardContextual"/>
    </w:rPr>
  </w:style>
  <w:style w:type="paragraph" w:styleId="HTMLPreformatted">
    <w:name w:val="HTML Preformatted"/>
    <w:basedOn w:val="Normal"/>
    <w:link w:val="HTMLPreformattedChar"/>
    <w:uiPriority w:val="99"/>
    <w:semiHidden/>
    <w:unhideWhenUsed/>
    <w:rsid w:val="00602A58"/>
    <w:pPr>
      <w:spacing w:after="0" w:line="240" w:lineRule="auto"/>
    </w:pPr>
    <w:rPr>
      <w:rFonts w:ascii="Consolas" w:eastAsiaTheme="minorHAnsi" w:hAnsi="Consolas" w:cstheme="minorBidi"/>
      <w:kern w:val="2"/>
      <w:sz w:val="20"/>
      <w:szCs w:val="20"/>
      <w:lang w:val="en-ID" w:eastAsia="en-US"/>
      <w14:ligatures w14:val="standardContextual"/>
    </w:rPr>
  </w:style>
  <w:style w:type="character" w:customStyle="1" w:styleId="HTMLPreformattedChar">
    <w:name w:val="HTML Preformatted Char"/>
    <w:basedOn w:val="DefaultParagraphFont"/>
    <w:link w:val="HTMLPreformatted"/>
    <w:uiPriority w:val="99"/>
    <w:semiHidden/>
    <w:rsid w:val="00602A58"/>
    <w:rPr>
      <w:rFonts w:ascii="Consolas" w:eastAsiaTheme="minorHAnsi" w:hAnsi="Consolas" w:cstheme="minorBidi"/>
      <w:kern w:val="2"/>
      <w:sz w:val="20"/>
      <w:szCs w:val="20"/>
      <w:lang w:val="en-ID" w:eastAsia="en-US"/>
      <w14:ligatures w14:val="standardContextual"/>
    </w:rPr>
  </w:style>
  <w:style w:type="character" w:styleId="FollowedHyperlink">
    <w:name w:val="FollowedHyperlink"/>
    <w:basedOn w:val="DefaultParagraphFont"/>
    <w:uiPriority w:val="99"/>
    <w:semiHidden/>
    <w:unhideWhenUsed/>
    <w:qFormat/>
    <w:rsid w:val="00602A58"/>
    <w:rPr>
      <w:color w:val="800080" w:themeColor="followedHyperlink"/>
      <w:u w:val="single"/>
    </w:rPr>
  </w:style>
  <w:style w:type="table" w:styleId="PlainTable2">
    <w:name w:val="Plain Table 2"/>
    <w:basedOn w:val="TableNormal"/>
    <w:uiPriority w:val="42"/>
    <w:rsid w:val="00D041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otnoteReference">
    <w:name w:val="footnote reference"/>
    <w:basedOn w:val="DefaultParagraphFont"/>
    <w:uiPriority w:val="99"/>
    <w:semiHidden/>
    <w:unhideWhenUsed/>
    <w:qFormat/>
    <w:rsid w:val="00AE2642"/>
    <w:rPr>
      <w:vertAlign w:val="superscript"/>
    </w:rPr>
  </w:style>
  <w:style w:type="paragraph" w:styleId="NoSpacing">
    <w:name w:val="No Spacing"/>
    <w:link w:val="NoSpacingChar"/>
    <w:uiPriority w:val="1"/>
    <w:qFormat/>
    <w:rsid w:val="00C63FFD"/>
    <w:pPr>
      <w:spacing w:after="0" w:line="240" w:lineRule="auto"/>
    </w:pPr>
    <w:rPr>
      <w:rFonts w:asciiTheme="minorHAnsi" w:eastAsiaTheme="minorHAnsi" w:hAnsiTheme="minorHAnsi" w:cstheme="minorBidi"/>
      <w:lang w:val="id-ID" w:eastAsia="en-US"/>
    </w:rPr>
  </w:style>
  <w:style w:type="character" w:customStyle="1" w:styleId="NoSpacingChar">
    <w:name w:val="No Spacing Char"/>
    <w:link w:val="NoSpacing"/>
    <w:uiPriority w:val="1"/>
    <w:rsid w:val="00C63FFD"/>
    <w:rPr>
      <w:rFonts w:asciiTheme="minorHAnsi" w:eastAsiaTheme="minorHAnsi" w:hAnsiTheme="minorHAnsi" w:cstheme="minorBidi"/>
      <w:lang w:val="id-ID" w:eastAsia="en-US"/>
    </w:rPr>
  </w:style>
  <w:style w:type="character" w:customStyle="1" w:styleId="15">
    <w:name w:val="15"/>
    <w:basedOn w:val="DefaultParagraphFont"/>
    <w:rsid w:val="00C63FFD"/>
    <w:rPr>
      <w:rFonts w:ascii="Calibri" w:hAnsi="Calibri" w:cs="Calibri" w:hint="default"/>
      <w:color w:val="0563C1"/>
      <w:u w:val="single"/>
    </w:rPr>
  </w:style>
  <w:style w:type="table" w:customStyle="1" w:styleId="PlainTable21">
    <w:name w:val="Plain Table 21"/>
    <w:basedOn w:val="TableNormal"/>
    <w:uiPriority w:val="42"/>
    <w:rsid w:val="00655CBC"/>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Paragraph">
    <w:name w:val="Table Paragraph"/>
    <w:basedOn w:val="Normal"/>
    <w:uiPriority w:val="1"/>
    <w:qFormat/>
    <w:rsid w:val="0036088C"/>
    <w:pPr>
      <w:widowControl w:val="0"/>
      <w:autoSpaceDE w:val="0"/>
      <w:autoSpaceDN w:val="0"/>
      <w:spacing w:before="239" w:after="0" w:line="257" w:lineRule="exact"/>
      <w:ind w:left="15"/>
      <w:jc w:val="center"/>
    </w:pPr>
    <w:rPr>
      <w:rFonts w:ascii="Times New Roman" w:eastAsia="Times New Roman" w:hAnsi="Times New Roman" w:cs="Times New Roman"/>
      <w:lang w:eastAsia="en-US"/>
    </w:rPr>
  </w:style>
  <w:style w:type="character" w:customStyle="1" w:styleId="ListParagraphChar">
    <w:name w:val="List Paragraph Char"/>
    <w:aliases w:val="Body of text Char,Body of text+1 Char,Body of text+2 Char,Body of text+3 Char,List Paragraph11 Char,Medium Grid 1 - Accent 21 Char,HEADING 1 Char,kepala 1 Char,Body of textCxSp Char,soal jawab Char,Heading 11 Char,Heading 111 Char"/>
    <w:link w:val="ListParagraph"/>
    <w:uiPriority w:val="34"/>
    <w:qFormat/>
    <w:locked/>
    <w:rsid w:val="00BC5783"/>
  </w:style>
  <w:style w:type="paragraph" w:customStyle="1" w:styleId="p3">
    <w:name w:val="p3"/>
    <w:basedOn w:val="ListParagraph"/>
    <w:link w:val="p3Char"/>
    <w:qFormat/>
    <w:rsid w:val="00BC5783"/>
    <w:pPr>
      <w:tabs>
        <w:tab w:val="left" w:pos="1134"/>
      </w:tabs>
      <w:spacing w:after="0"/>
      <w:ind w:left="709"/>
      <w:contextualSpacing w:val="0"/>
      <w:jc w:val="both"/>
    </w:pPr>
    <w:rPr>
      <w:rFonts w:ascii="Times New Roman" w:eastAsia="Times New Roman" w:hAnsi="Times New Roman" w:cs="Times New Roman"/>
      <w:sz w:val="24"/>
      <w:szCs w:val="24"/>
      <w:lang w:val="sv-SE" w:eastAsia="en-US"/>
    </w:rPr>
  </w:style>
  <w:style w:type="character" w:customStyle="1" w:styleId="p3Char">
    <w:name w:val="p3 Char"/>
    <w:basedOn w:val="ListParagraphChar"/>
    <w:link w:val="p3"/>
    <w:rsid w:val="00BC5783"/>
    <w:rPr>
      <w:rFonts w:ascii="Times New Roman" w:eastAsia="Times New Roman" w:hAnsi="Times New Roman" w:cs="Times New Roman"/>
      <w:sz w:val="24"/>
      <w:szCs w:val="24"/>
      <w:lang w:val="sv-SE" w:eastAsia="en-US"/>
    </w:rPr>
  </w:style>
  <w:style w:type="character" w:styleId="Strong">
    <w:name w:val="Strong"/>
    <w:basedOn w:val="DefaultParagraphFont"/>
    <w:uiPriority w:val="22"/>
    <w:qFormat/>
    <w:rsid w:val="00BC5783"/>
    <w:rPr>
      <w:b/>
      <w:bCs/>
    </w:rPr>
  </w:style>
  <w:style w:type="table" w:customStyle="1" w:styleId="2">
    <w:name w:val="2"/>
    <w:basedOn w:val="TableNormal"/>
    <w:rsid w:val="005B3154"/>
    <w:pPr>
      <w:spacing w:after="0" w:line="240" w:lineRule="auto"/>
    </w:pPr>
    <w:tblPr>
      <w:tblStyleRowBandSize w:val="1"/>
      <w:tblStyleColBandSize w:val="1"/>
    </w:tblPr>
  </w:style>
  <w:style w:type="table" w:customStyle="1" w:styleId="1">
    <w:name w:val="1"/>
    <w:basedOn w:val="TableNormal"/>
    <w:rsid w:val="005B3154"/>
    <w:tblPr>
      <w:tblStyleRowBandSize w:val="1"/>
      <w:tblStyleColBandSize w:val="1"/>
      <w:tblCellMar>
        <w:left w:w="115" w:type="dxa"/>
        <w:right w:w="115" w:type="dxa"/>
      </w:tblCellMar>
    </w:tblPr>
  </w:style>
  <w:style w:type="paragraph" w:styleId="Caption">
    <w:name w:val="caption"/>
    <w:basedOn w:val="Normal"/>
    <w:next w:val="Normal"/>
    <w:uiPriority w:val="35"/>
    <w:unhideWhenUsed/>
    <w:qFormat/>
    <w:rsid w:val="005B3154"/>
    <w:pPr>
      <w:spacing w:line="240" w:lineRule="auto"/>
    </w:pPr>
    <w:rPr>
      <w:i/>
      <w:iCs/>
      <w:color w:val="1F497D" w:themeColor="text2"/>
      <w:sz w:val="18"/>
      <w:szCs w:val="18"/>
    </w:rPr>
  </w:style>
  <w:style w:type="table" w:customStyle="1" w:styleId="TableGrid1">
    <w:name w:val="Table Grid1"/>
    <w:basedOn w:val="TableNormal"/>
    <w:uiPriority w:val="59"/>
    <w:qFormat/>
    <w:rsid w:val="005B3154"/>
    <w:pPr>
      <w:spacing w:after="0" w:line="240" w:lineRule="auto"/>
    </w:pPr>
    <w:rPr>
      <w:rFonts w:asciiTheme="minorHAnsi" w:eastAsiaTheme="minorHAnsi" w:hAnsiTheme="minorHAnsi" w:cstheme="minorBidi"/>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B3154"/>
    <w:pPr>
      <w:spacing w:before="240" w:after="0" w:line="259" w:lineRule="auto"/>
      <w:outlineLvl w:val="9"/>
    </w:pPr>
    <w:rPr>
      <w:rFonts w:asciiTheme="majorHAnsi" w:eastAsiaTheme="majorEastAsia" w:hAnsiTheme="majorHAnsi" w:cstheme="majorBidi"/>
      <w:b w:val="0"/>
      <w:color w:val="365F91" w:themeColor="accent1" w:themeShade="BF"/>
      <w:sz w:val="32"/>
      <w:szCs w:val="32"/>
      <w:lang w:eastAsia="en-US"/>
    </w:rPr>
  </w:style>
  <w:style w:type="table" w:styleId="GridTable1Light">
    <w:name w:val="Grid Table 1 Light"/>
    <w:basedOn w:val="TableNormal"/>
    <w:uiPriority w:val="46"/>
    <w:rsid w:val="005B315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B106F1"/>
    <w:rPr>
      <w:i/>
      <w:iCs/>
    </w:rPr>
  </w:style>
  <w:style w:type="paragraph" w:styleId="FootnoteText">
    <w:name w:val="footnote text"/>
    <w:basedOn w:val="Normal"/>
    <w:link w:val="FootnoteTextChar"/>
    <w:uiPriority w:val="99"/>
    <w:semiHidden/>
    <w:unhideWhenUsed/>
    <w:qFormat/>
    <w:rsid w:val="00B106F1"/>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qFormat/>
    <w:rsid w:val="00B106F1"/>
    <w:rPr>
      <w:rFonts w:asciiTheme="minorHAnsi" w:eastAsiaTheme="minorHAnsi" w:hAnsiTheme="minorHAnsi" w:cstheme="minorBidi"/>
      <w:sz w:val="20"/>
      <w:szCs w:val="20"/>
      <w:lang w:eastAsia="en-US"/>
    </w:rPr>
  </w:style>
  <w:style w:type="character" w:styleId="HTMLCode">
    <w:name w:val="HTML Code"/>
    <w:basedOn w:val="DefaultParagraphFont"/>
    <w:uiPriority w:val="99"/>
    <w:semiHidden/>
    <w:unhideWhenUsed/>
    <w:rsid w:val="00B106F1"/>
    <w:rPr>
      <w:rFonts w:ascii="Courier New" w:eastAsia="Times New Roman" w:hAnsi="Courier New" w:cs="Courier New"/>
      <w:sz w:val="20"/>
      <w:szCs w:val="20"/>
    </w:rPr>
  </w:style>
  <w:style w:type="table" w:customStyle="1" w:styleId="PlainTable22">
    <w:name w:val="Plain Table 22"/>
    <w:basedOn w:val="TableNormal"/>
    <w:next w:val="PlainTable2"/>
    <w:uiPriority w:val="42"/>
    <w:rsid w:val="00E07246"/>
    <w:pPr>
      <w:spacing w:after="0" w:line="240" w:lineRule="auto"/>
    </w:pPr>
    <w:rPr>
      <w:rFonts w:asciiTheme="minorHAnsi" w:eastAsiaTheme="minorHAnsi" w:hAnsiTheme="minorHAnsi" w:cstheme="minorBidi"/>
      <w:lang w:val="id-ID"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TableNormal"/>
    <w:next w:val="TableGrid"/>
    <w:uiPriority w:val="39"/>
    <w:rsid w:val="00C61787"/>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qFormat/>
    <w:rsid w:val="00073ED0"/>
    <w:rPr>
      <w:rFonts w:asciiTheme="majorHAnsi" w:eastAsiaTheme="majorEastAsia" w:hAnsiTheme="majorHAnsi" w:cstheme="majorBidi"/>
      <w:i/>
      <w:iCs/>
      <w:color w:val="244061" w:themeColor="accent1" w:themeShade="80"/>
      <w:kern w:val="2"/>
      <w:sz w:val="24"/>
      <w:lang w:val="en" w:eastAsia="en-US"/>
      <w14:ligatures w14:val="standardContextual"/>
    </w:rPr>
  </w:style>
  <w:style w:type="character" w:customStyle="1" w:styleId="Heading8Char">
    <w:name w:val="Heading 8 Char"/>
    <w:basedOn w:val="DefaultParagraphFont"/>
    <w:link w:val="Heading8"/>
    <w:uiPriority w:val="9"/>
    <w:semiHidden/>
    <w:qFormat/>
    <w:rsid w:val="00073ED0"/>
    <w:rPr>
      <w:rFonts w:asciiTheme="majorHAnsi" w:eastAsiaTheme="majorEastAsia" w:hAnsiTheme="majorHAnsi" w:cstheme="majorBidi"/>
      <w:color w:val="262626" w:themeColor="text1" w:themeTint="D9"/>
      <w:kern w:val="2"/>
      <w:sz w:val="21"/>
      <w:szCs w:val="21"/>
      <w:lang w:val="en" w:eastAsia="en-US"/>
      <w14:ligatures w14:val="standardContextual"/>
    </w:rPr>
  </w:style>
  <w:style w:type="character" w:customStyle="1" w:styleId="Heading9Char">
    <w:name w:val="Heading 9 Char"/>
    <w:basedOn w:val="DefaultParagraphFont"/>
    <w:link w:val="Heading9"/>
    <w:uiPriority w:val="9"/>
    <w:semiHidden/>
    <w:qFormat/>
    <w:rsid w:val="00073ED0"/>
    <w:rPr>
      <w:rFonts w:asciiTheme="majorHAnsi" w:eastAsiaTheme="majorEastAsia" w:hAnsiTheme="majorHAnsi" w:cstheme="majorBidi"/>
      <w:i/>
      <w:iCs/>
      <w:color w:val="262626" w:themeColor="text1" w:themeTint="D9"/>
      <w:kern w:val="2"/>
      <w:sz w:val="21"/>
      <w:szCs w:val="21"/>
      <w:lang w:val="en" w:eastAsia="en-US"/>
      <w14:ligatures w14:val="standardContextual"/>
    </w:rPr>
  </w:style>
  <w:style w:type="table" w:customStyle="1" w:styleId="TableGrid3">
    <w:name w:val="Table Grid3"/>
    <w:basedOn w:val="TableNormal"/>
    <w:next w:val="TableGrid"/>
    <w:uiPriority w:val="39"/>
    <w:qFormat/>
    <w:rsid w:val="00073ED0"/>
    <w:pPr>
      <w:widowControl w:val="0"/>
      <w:autoSpaceDE w:val="0"/>
      <w:autoSpaceDN w:val="0"/>
      <w:spacing w:after="0" w:line="240" w:lineRule="auto"/>
    </w:pPr>
    <w:rPr>
      <w:rFonts w:asciiTheme="minorHAnsi" w:eastAsiaTheme="minorHAnsi" w:hAnsiTheme="minorHAnsi" w:cstheme="minorBidi"/>
      <w:sz w:val="20"/>
      <w:szCs w:val="20"/>
      <w:lang w:val="en-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073ED0"/>
    <w:pPr>
      <w:tabs>
        <w:tab w:val="right" w:leader="dot" w:pos="7927"/>
      </w:tabs>
      <w:spacing w:after="100" w:line="259" w:lineRule="auto"/>
    </w:pPr>
    <w:rPr>
      <w:rFonts w:ascii="Times New Roman" w:eastAsiaTheme="minorHAnsi" w:hAnsi="Times New Roman" w:cs="Times New Roman"/>
      <w:b/>
      <w:bCs/>
      <w:kern w:val="2"/>
      <w:sz w:val="24"/>
      <w:szCs w:val="24"/>
      <w:lang w:val="en" w:eastAsia="en-US"/>
      <w14:ligatures w14:val="standardContextual"/>
    </w:rPr>
  </w:style>
  <w:style w:type="paragraph" w:styleId="TOC2">
    <w:name w:val="toc 2"/>
    <w:basedOn w:val="Normal"/>
    <w:next w:val="Normal"/>
    <w:autoRedefine/>
    <w:uiPriority w:val="39"/>
    <w:unhideWhenUsed/>
    <w:qFormat/>
    <w:rsid w:val="00073ED0"/>
    <w:pPr>
      <w:tabs>
        <w:tab w:val="left" w:pos="880"/>
        <w:tab w:val="left" w:pos="1560"/>
        <w:tab w:val="right" w:leader="dot" w:pos="7927"/>
      </w:tabs>
      <w:spacing w:after="100" w:line="259" w:lineRule="auto"/>
      <w:ind w:left="220"/>
    </w:pPr>
    <w:rPr>
      <w:rFonts w:ascii="Times New Roman" w:eastAsiaTheme="minorHAnsi" w:hAnsi="Times New Roman" w:cstheme="minorBidi"/>
      <w:kern w:val="2"/>
      <w:sz w:val="24"/>
      <w:lang w:val="en" w:eastAsia="en-US"/>
      <w14:ligatures w14:val="standardContextual"/>
    </w:rPr>
  </w:style>
  <w:style w:type="paragraph" w:styleId="TOC3">
    <w:name w:val="toc 3"/>
    <w:basedOn w:val="Normal"/>
    <w:next w:val="Normal"/>
    <w:autoRedefine/>
    <w:uiPriority w:val="39"/>
    <w:unhideWhenUsed/>
    <w:qFormat/>
    <w:rsid w:val="00073ED0"/>
    <w:pPr>
      <w:spacing w:after="100" w:line="259" w:lineRule="auto"/>
      <w:ind w:left="440"/>
    </w:pPr>
    <w:rPr>
      <w:rFonts w:ascii="Times New Roman" w:eastAsiaTheme="minorHAnsi" w:hAnsi="Times New Roman" w:cstheme="minorBidi"/>
      <w:kern w:val="2"/>
      <w:sz w:val="24"/>
      <w:lang w:val="en" w:eastAsia="en-US"/>
      <w14:ligatures w14:val="standardContextual"/>
    </w:rPr>
  </w:style>
  <w:style w:type="paragraph" w:styleId="TOC4">
    <w:name w:val="toc 4"/>
    <w:basedOn w:val="Normal"/>
    <w:next w:val="Normal"/>
    <w:autoRedefine/>
    <w:uiPriority w:val="39"/>
    <w:unhideWhenUsed/>
    <w:qFormat/>
    <w:rsid w:val="00073ED0"/>
    <w:pPr>
      <w:spacing w:after="100" w:line="259" w:lineRule="auto"/>
      <w:ind w:left="660"/>
    </w:pPr>
    <w:rPr>
      <w:rFonts w:asciiTheme="minorHAnsi" w:eastAsiaTheme="minorEastAsia" w:hAnsiTheme="minorHAnsi" w:cstheme="minorBidi"/>
      <w:lang w:val="en" w:eastAsia="en-US"/>
    </w:rPr>
  </w:style>
  <w:style w:type="paragraph" w:styleId="TOC5">
    <w:name w:val="toc 5"/>
    <w:basedOn w:val="Normal"/>
    <w:next w:val="Normal"/>
    <w:autoRedefine/>
    <w:uiPriority w:val="39"/>
    <w:unhideWhenUsed/>
    <w:qFormat/>
    <w:rsid w:val="00073ED0"/>
    <w:pPr>
      <w:spacing w:after="100" w:line="259" w:lineRule="auto"/>
      <w:ind w:left="880"/>
    </w:pPr>
    <w:rPr>
      <w:rFonts w:asciiTheme="minorHAnsi" w:eastAsiaTheme="minorEastAsia" w:hAnsiTheme="minorHAnsi" w:cstheme="minorBidi"/>
      <w:lang w:val="en" w:eastAsia="en-US"/>
    </w:rPr>
  </w:style>
  <w:style w:type="paragraph" w:styleId="TOC6">
    <w:name w:val="toc 6"/>
    <w:basedOn w:val="Normal"/>
    <w:next w:val="Normal"/>
    <w:autoRedefine/>
    <w:uiPriority w:val="39"/>
    <w:unhideWhenUsed/>
    <w:qFormat/>
    <w:rsid w:val="00073ED0"/>
    <w:pPr>
      <w:spacing w:after="100" w:line="259" w:lineRule="auto"/>
      <w:ind w:left="1100"/>
    </w:pPr>
    <w:rPr>
      <w:rFonts w:asciiTheme="minorHAnsi" w:eastAsiaTheme="minorEastAsia" w:hAnsiTheme="minorHAnsi" w:cstheme="minorBidi"/>
      <w:lang w:val="en" w:eastAsia="en-US"/>
    </w:rPr>
  </w:style>
  <w:style w:type="paragraph" w:styleId="TOC7">
    <w:name w:val="toc 7"/>
    <w:basedOn w:val="Normal"/>
    <w:next w:val="Normal"/>
    <w:autoRedefine/>
    <w:uiPriority w:val="39"/>
    <w:unhideWhenUsed/>
    <w:qFormat/>
    <w:rsid w:val="00073ED0"/>
    <w:pPr>
      <w:spacing w:after="100" w:line="259" w:lineRule="auto"/>
      <w:ind w:left="1320"/>
    </w:pPr>
    <w:rPr>
      <w:rFonts w:asciiTheme="minorHAnsi" w:eastAsiaTheme="minorEastAsia" w:hAnsiTheme="minorHAnsi" w:cstheme="minorBidi"/>
      <w:lang w:val="en" w:eastAsia="en-US"/>
    </w:rPr>
  </w:style>
  <w:style w:type="paragraph" w:styleId="TOC8">
    <w:name w:val="toc 8"/>
    <w:basedOn w:val="Normal"/>
    <w:next w:val="Normal"/>
    <w:autoRedefine/>
    <w:uiPriority w:val="39"/>
    <w:unhideWhenUsed/>
    <w:qFormat/>
    <w:rsid w:val="00073ED0"/>
    <w:pPr>
      <w:spacing w:after="100" w:line="259" w:lineRule="auto"/>
      <w:ind w:left="1540"/>
    </w:pPr>
    <w:rPr>
      <w:rFonts w:asciiTheme="minorHAnsi" w:eastAsiaTheme="minorEastAsia" w:hAnsiTheme="minorHAnsi" w:cstheme="minorBidi"/>
      <w:lang w:val="en" w:eastAsia="en-US"/>
    </w:rPr>
  </w:style>
  <w:style w:type="paragraph" w:styleId="TOC9">
    <w:name w:val="toc 9"/>
    <w:basedOn w:val="Normal"/>
    <w:next w:val="Normal"/>
    <w:autoRedefine/>
    <w:uiPriority w:val="39"/>
    <w:unhideWhenUsed/>
    <w:qFormat/>
    <w:rsid w:val="00073ED0"/>
    <w:pPr>
      <w:spacing w:after="100" w:line="259" w:lineRule="auto"/>
      <w:ind w:left="1760"/>
    </w:pPr>
    <w:rPr>
      <w:rFonts w:asciiTheme="minorHAnsi" w:eastAsiaTheme="minorEastAsia" w:hAnsiTheme="minorHAnsi" w:cstheme="minorBidi"/>
      <w:lang w:val="en" w:eastAsia="en-US"/>
    </w:rPr>
  </w:style>
  <w:style w:type="table" w:customStyle="1" w:styleId="TableNormal0">
    <w:name w:val="TableNormal"/>
    <w:qFormat/>
    <w:rsid w:val="00073ED0"/>
    <w:pPr>
      <w:spacing w:after="0" w:line="240" w:lineRule="auto"/>
    </w:pPr>
    <w:rPr>
      <w:sz w:val="20"/>
      <w:szCs w:val="20"/>
      <w:lang w:val="en-ID" w:eastAsia="ja-JP"/>
    </w:rPr>
    <w:tblPr>
      <w:tblCellMar>
        <w:top w:w="100" w:type="dxa"/>
        <w:left w:w="100" w:type="dxa"/>
        <w:bottom w:w="100" w:type="dxa"/>
        <w:right w:w="100" w:type="dxa"/>
      </w:tblCellMar>
    </w:tblPr>
  </w:style>
  <w:style w:type="table" w:customStyle="1" w:styleId="Style15">
    <w:name w:val="_Style 15"/>
    <w:basedOn w:val="TableNormal"/>
    <w:qFormat/>
    <w:rsid w:val="00073ED0"/>
    <w:pPr>
      <w:spacing w:after="0" w:line="240" w:lineRule="auto"/>
    </w:pPr>
    <w:rPr>
      <w:sz w:val="20"/>
      <w:szCs w:val="20"/>
      <w:lang w:val="en-ID" w:eastAsia="ja-JP"/>
    </w:rPr>
    <w:tblPr/>
  </w:style>
  <w:style w:type="table" w:customStyle="1" w:styleId="Style16">
    <w:name w:val="_Style 16"/>
    <w:basedOn w:val="TableNormal"/>
    <w:qFormat/>
    <w:rsid w:val="00073ED0"/>
    <w:pPr>
      <w:spacing w:after="0" w:line="240" w:lineRule="auto"/>
    </w:pPr>
    <w:rPr>
      <w:sz w:val="20"/>
      <w:szCs w:val="20"/>
      <w:lang w:val="en-ID" w:eastAsia="ja-JP"/>
    </w:rPr>
    <w:tblPr>
      <w:tblCellMar>
        <w:left w:w="115" w:type="dxa"/>
        <w:right w:w="115" w:type="dxa"/>
      </w:tblCellMar>
    </w:tblPr>
  </w:style>
  <w:style w:type="character" w:customStyle="1" w:styleId="UnresolvedMention2">
    <w:name w:val="Unresolved Mention2"/>
    <w:basedOn w:val="DefaultParagraphFont"/>
    <w:uiPriority w:val="99"/>
    <w:semiHidden/>
    <w:unhideWhenUsed/>
    <w:qFormat/>
    <w:rsid w:val="00073ED0"/>
    <w:rPr>
      <w:color w:val="605E5C"/>
      <w:shd w:val="clear" w:color="auto" w:fill="E1DFDD"/>
    </w:rPr>
  </w:style>
  <w:style w:type="table" w:customStyle="1" w:styleId="Style33">
    <w:name w:val="_Style 33"/>
    <w:basedOn w:val="TableNormal"/>
    <w:qFormat/>
    <w:rsid w:val="00073ED0"/>
    <w:pPr>
      <w:spacing w:after="0" w:line="240" w:lineRule="auto"/>
    </w:pPr>
    <w:rPr>
      <w:sz w:val="20"/>
      <w:szCs w:val="20"/>
      <w:lang w:val="en-ID" w:eastAsia="ja-JP"/>
    </w:rPr>
    <w:tblPr/>
  </w:style>
  <w:style w:type="table" w:customStyle="1" w:styleId="Style34">
    <w:name w:val="_Style 34"/>
    <w:basedOn w:val="TableNormal"/>
    <w:qFormat/>
    <w:rsid w:val="00073ED0"/>
    <w:pPr>
      <w:widowControl w:val="0"/>
      <w:spacing w:after="0" w:line="240" w:lineRule="auto"/>
    </w:pPr>
    <w:rPr>
      <w:rFonts w:ascii="Cambria" w:eastAsia="Cambria" w:hAnsi="Cambria" w:cs="Cambria"/>
      <w:sz w:val="20"/>
      <w:szCs w:val="20"/>
      <w:lang w:val="en-ID" w:eastAsia="ja-JP"/>
    </w:rPr>
    <w:tblPr/>
  </w:style>
  <w:style w:type="table" w:customStyle="1" w:styleId="Style35">
    <w:name w:val="_Style 35"/>
    <w:basedOn w:val="TableNormal"/>
    <w:qFormat/>
    <w:rsid w:val="00073ED0"/>
    <w:pPr>
      <w:widowControl w:val="0"/>
      <w:spacing w:after="0" w:line="240" w:lineRule="auto"/>
    </w:pPr>
    <w:rPr>
      <w:rFonts w:ascii="Cambria" w:eastAsia="Cambria" w:hAnsi="Cambria" w:cs="Cambria"/>
      <w:sz w:val="20"/>
      <w:szCs w:val="20"/>
      <w:lang w:val="en-ID" w:eastAsia="ja-JP"/>
    </w:rPr>
    <w:tblPr/>
  </w:style>
  <w:style w:type="table" w:customStyle="1" w:styleId="Style36">
    <w:name w:val="_Style 36"/>
    <w:basedOn w:val="TableNormal"/>
    <w:qFormat/>
    <w:rsid w:val="00073ED0"/>
    <w:pPr>
      <w:widowControl w:val="0"/>
      <w:spacing w:after="0" w:line="240" w:lineRule="auto"/>
    </w:pPr>
    <w:rPr>
      <w:rFonts w:ascii="Cambria" w:eastAsia="Cambria" w:hAnsi="Cambria" w:cs="Cambria"/>
      <w:sz w:val="20"/>
      <w:szCs w:val="20"/>
      <w:lang w:val="en-ID" w:eastAsia="ja-JP"/>
    </w:rPr>
    <w:tblPr/>
  </w:style>
  <w:style w:type="table" w:customStyle="1" w:styleId="Style37">
    <w:name w:val="_Style 37"/>
    <w:basedOn w:val="TableNormal"/>
    <w:qFormat/>
    <w:rsid w:val="00073ED0"/>
    <w:pPr>
      <w:widowControl w:val="0"/>
      <w:spacing w:after="0" w:line="240" w:lineRule="auto"/>
    </w:pPr>
    <w:rPr>
      <w:rFonts w:ascii="Cambria" w:eastAsia="Cambria" w:hAnsi="Cambria" w:cs="Cambria"/>
      <w:sz w:val="20"/>
      <w:szCs w:val="20"/>
      <w:lang w:val="en-ID" w:eastAsia="ja-JP"/>
    </w:rPr>
    <w:tblPr/>
  </w:style>
  <w:style w:type="table" w:customStyle="1" w:styleId="Style38">
    <w:name w:val="_Style 38"/>
    <w:basedOn w:val="TableNormal"/>
    <w:qFormat/>
    <w:rsid w:val="00073ED0"/>
    <w:pPr>
      <w:widowControl w:val="0"/>
      <w:spacing w:after="0" w:line="240" w:lineRule="auto"/>
    </w:pPr>
    <w:rPr>
      <w:rFonts w:ascii="Cambria" w:eastAsia="Cambria" w:hAnsi="Cambria" w:cs="Cambria"/>
      <w:sz w:val="20"/>
      <w:szCs w:val="20"/>
      <w:lang w:val="en-ID" w:eastAsia="ja-JP"/>
    </w:rPr>
    <w:tblPr/>
  </w:style>
  <w:style w:type="table" w:customStyle="1" w:styleId="Style39">
    <w:name w:val="_Style 39"/>
    <w:basedOn w:val="TableNormal"/>
    <w:qFormat/>
    <w:rsid w:val="00073ED0"/>
    <w:pPr>
      <w:widowControl w:val="0"/>
      <w:spacing w:after="0" w:line="240" w:lineRule="auto"/>
    </w:pPr>
    <w:rPr>
      <w:rFonts w:ascii="Cambria" w:eastAsia="Cambria" w:hAnsi="Cambria" w:cs="Cambria"/>
      <w:sz w:val="20"/>
      <w:szCs w:val="20"/>
      <w:lang w:val="en-ID" w:eastAsia="ja-JP"/>
    </w:rPr>
    <w:tblPr/>
  </w:style>
  <w:style w:type="table" w:customStyle="1" w:styleId="Style40">
    <w:name w:val="_Style 40"/>
    <w:basedOn w:val="TableNormal"/>
    <w:qFormat/>
    <w:rsid w:val="00073ED0"/>
    <w:pPr>
      <w:widowControl w:val="0"/>
      <w:spacing w:after="0" w:line="240" w:lineRule="auto"/>
    </w:pPr>
    <w:rPr>
      <w:rFonts w:ascii="Cambria" w:eastAsia="Cambria" w:hAnsi="Cambria" w:cs="Cambria"/>
      <w:sz w:val="20"/>
      <w:szCs w:val="20"/>
      <w:lang w:val="en-ID" w:eastAsia="ja-JP"/>
    </w:rPr>
    <w:tblPr/>
  </w:style>
  <w:style w:type="table" w:customStyle="1" w:styleId="Style41">
    <w:name w:val="_Style 41"/>
    <w:basedOn w:val="TableNormal"/>
    <w:qFormat/>
    <w:rsid w:val="00073ED0"/>
    <w:pPr>
      <w:widowControl w:val="0"/>
      <w:spacing w:after="0" w:line="240" w:lineRule="auto"/>
    </w:pPr>
    <w:rPr>
      <w:rFonts w:ascii="Cambria" w:eastAsia="Cambria" w:hAnsi="Cambria" w:cs="Cambria"/>
      <w:sz w:val="20"/>
      <w:szCs w:val="20"/>
      <w:lang w:val="en-ID" w:eastAsia="ja-JP"/>
    </w:rPr>
    <w:tblPr/>
  </w:style>
  <w:style w:type="table" w:customStyle="1" w:styleId="Style42">
    <w:name w:val="_Style 42"/>
    <w:basedOn w:val="TableNormal"/>
    <w:qFormat/>
    <w:rsid w:val="00073ED0"/>
    <w:pPr>
      <w:spacing w:after="0" w:line="240" w:lineRule="auto"/>
    </w:pPr>
    <w:rPr>
      <w:sz w:val="20"/>
      <w:szCs w:val="20"/>
      <w:lang w:val="en-ID" w:eastAsia="ja-JP"/>
    </w:rPr>
    <w:tblPr>
      <w:tblCellMar>
        <w:left w:w="115" w:type="dxa"/>
        <w:right w:w="115" w:type="dxa"/>
      </w:tblCellMar>
    </w:tblPr>
  </w:style>
  <w:style w:type="character" w:customStyle="1" w:styleId="Heading3Char">
    <w:name w:val="Heading 3 Char"/>
    <w:basedOn w:val="DefaultParagraphFont"/>
    <w:link w:val="Heading3"/>
    <w:uiPriority w:val="9"/>
    <w:qFormat/>
    <w:rsid w:val="00073ED0"/>
    <w:rPr>
      <w:b/>
      <w:sz w:val="28"/>
      <w:szCs w:val="28"/>
    </w:rPr>
  </w:style>
  <w:style w:type="character" w:customStyle="1" w:styleId="Heading4Char">
    <w:name w:val="Heading 4 Char"/>
    <w:basedOn w:val="DefaultParagraphFont"/>
    <w:link w:val="Heading4"/>
    <w:uiPriority w:val="9"/>
    <w:qFormat/>
    <w:rsid w:val="00073ED0"/>
    <w:rPr>
      <w:b/>
      <w:sz w:val="24"/>
      <w:szCs w:val="24"/>
    </w:rPr>
  </w:style>
  <w:style w:type="character" w:customStyle="1" w:styleId="Heading5Char">
    <w:name w:val="Heading 5 Char"/>
    <w:basedOn w:val="DefaultParagraphFont"/>
    <w:link w:val="Heading5"/>
    <w:uiPriority w:val="9"/>
    <w:semiHidden/>
    <w:qFormat/>
    <w:rsid w:val="00073ED0"/>
    <w:rPr>
      <w:b/>
    </w:rPr>
  </w:style>
  <w:style w:type="character" w:customStyle="1" w:styleId="Heading6Char">
    <w:name w:val="Heading 6 Char"/>
    <w:basedOn w:val="DefaultParagraphFont"/>
    <w:link w:val="Heading6"/>
    <w:uiPriority w:val="9"/>
    <w:semiHidden/>
    <w:qFormat/>
    <w:rsid w:val="00073ED0"/>
    <w:rPr>
      <w:b/>
      <w:sz w:val="20"/>
      <w:szCs w:val="20"/>
    </w:rPr>
  </w:style>
  <w:style w:type="paragraph" w:customStyle="1" w:styleId="BAB">
    <w:name w:val="BAB"/>
    <w:basedOn w:val="Normal"/>
    <w:link w:val="BABChar"/>
    <w:qFormat/>
    <w:rsid w:val="00073ED0"/>
    <w:pPr>
      <w:spacing w:after="160" w:line="480" w:lineRule="auto"/>
      <w:jc w:val="center"/>
    </w:pPr>
    <w:rPr>
      <w:rFonts w:asciiTheme="majorBidi" w:eastAsiaTheme="minorHAnsi" w:hAnsiTheme="majorBidi" w:cstheme="majorBidi"/>
      <w:b/>
      <w:bCs/>
      <w:kern w:val="2"/>
      <w:sz w:val="28"/>
      <w:szCs w:val="28"/>
      <w:lang w:val="en" w:eastAsia="en-US"/>
      <w14:ligatures w14:val="standardContextual"/>
    </w:rPr>
  </w:style>
  <w:style w:type="character" w:customStyle="1" w:styleId="BABChar">
    <w:name w:val="BAB Char"/>
    <w:basedOn w:val="DefaultParagraphFont"/>
    <w:link w:val="BAB"/>
    <w:qFormat/>
    <w:rsid w:val="00073ED0"/>
    <w:rPr>
      <w:rFonts w:asciiTheme="majorBidi" w:eastAsiaTheme="minorHAnsi" w:hAnsiTheme="majorBidi" w:cstheme="majorBidi"/>
      <w:b/>
      <w:bCs/>
      <w:kern w:val="2"/>
      <w:sz w:val="28"/>
      <w:szCs w:val="28"/>
      <w:lang w:val="en" w:eastAsia="en-US"/>
      <w14:ligatures w14:val="standardContextual"/>
    </w:rPr>
  </w:style>
  <w:style w:type="paragraph" w:customStyle="1" w:styleId="Style1">
    <w:name w:val="Style1"/>
    <w:basedOn w:val="Heading2"/>
    <w:next w:val="Heading2"/>
    <w:link w:val="Style1Char"/>
    <w:qFormat/>
    <w:rsid w:val="00073ED0"/>
    <w:pPr>
      <w:spacing w:before="40" w:line="259" w:lineRule="auto"/>
      <w:ind w:left="576" w:hanging="576"/>
    </w:pPr>
    <w:rPr>
      <w:rFonts w:asciiTheme="majorBidi" w:eastAsiaTheme="majorEastAsia" w:hAnsiTheme="majorBidi" w:cstheme="majorBidi"/>
      <w:kern w:val="2"/>
      <w:sz w:val="24"/>
      <w:lang w:val="en" w:eastAsia="en-US"/>
      <w14:ligatures w14:val="standardContextual"/>
    </w:rPr>
  </w:style>
  <w:style w:type="character" w:customStyle="1" w:styleId="Style1Char">
    <w:name w:val="Style1 Char"/>
    <w:basedOn w:val="Heading2Char"/>
    <w:link w:val="Style1"/>
    <w:qFormat/>
    <w:rsid w:val="00073ED0"/>
    <w:rPr>
      <w:rFonts w:asciiTheme="majorBidi" w:eastAsiaTheme="majorEastAsia" w:hAnsiTheme="majorBidi" w:cstheme="majorBidi"/>
      <w:b/>
      <w:color w:val="4F81BD"/>
      <w:kern w:val="2"/>
      <w:sz w:val="24"/>
      <w:szCs w:val="26"/>
      <w:lang w:val="en" w:eastAsia="en-US"/>
      <w14:ligatures w14:val="standardContextual"/>
    </w:rPr>
  </w:style>
  <w:style w:type="paragraph" w:customStyle="1" w:styleId="Style2">
    <w:name w:val="Style2"/>
    <w:basedOn w:val="BAB"/>
    <w:link w:val="Style2Char"/>
    <w:qFormat/>
    <w:rsid w:val="00073ED0"/>
    <w:pPr>
      <w:jc w:val="left"/>
    </w:pPr>
  </w:style>
  <w:style w:type="character" w:customStyle="1" w:styleId="Style2Char">
    <w:name w:val="Style2 Char"/>
    <w:basedOn w:val="BABChar"/>
    <w:link w:val="Style2"/>
    <w:qFormat/>
    <w:rsid w:val="00073ED0"/>
    <w:rPr>
      <w:rFonts w:asciiTheme="majorBidi" w:eastAsiaTheme="minorHAnsi" w:hAnsiTheme="majorBidi" w:cstheme="majorBidi"/>
      <w:b/>
      <w:bCs/>
      <w:kern w:val="2"/>
      <w:sz w:val="28"/>
      <w:szCs w:val="28"/>
      <w:lang w:val="en" w:eastAsia="en-US"/>
      <w14:ligatures w14:val="standardContextual"/>
    </w:rPr>
  </w:style>
  <w:style w:type="paragraph" w:customStyle="1" w:styleId="TOCHeading1">
    <w:name w:val="TOC Heading1"/>
    <w:basedOn w:val="Heading1"/>
    <w:next w:val="Normal"/>
    <w:uiPriority w:val="39"/>
    <w:unhideWhenUsed/>
    <w:qFormat/>
    <w:rsid w:val="00073ED0"/>
    <w:pPr>
      <w:spacing w:before="240" w:after="0" w:line="259" w:lineRule="auto"/>
      <w:ind w:left="3261"/>
      <w:jc w:val="center"/>
      <w:outlineLvl w:val="9"/>
    </w:pPr>
    <w:rPr>
      <w:rFonts w:asciiTheme="majorBidi" w:eastAsiaTheme="majorEastAsia" w:hAnsiTheme="majorBidi" w:cstheme="majorBidi"/>
      <w:sz w:val="32"/>
      <w:szCs w:val="32"/>
      <w:lang w:val="en" w:eastAsia="en-US"/>
    </w:rPr>
  </w:style>
  <w:style w:type="paragraph" w:customStyle="1" w:styleId="Default">
    <w:name w:val="Default"/>
    <w:qFormat/>
    <w:rsid w:val="00073ED0"/>
    <w:pPr>
      <w:autoSpaceDE w:val="0"/>
      <w:autoSpaceDN w:val="0"/>
      <w:adjustRightInd w:val="0"/>
      <w:spacing w:after="0" w:line="240" w:lineRule="auto"/>
    </w:pPr>
    <w:rPr>
      <w:rFonts w:ascii="Times New Roman" w:eastAsiaTheme="minorHAnsi" w:hAnsi="Times New Roman" w:cs="Times New Roman"/>
      <w:color w:val="000000"/>
      <w:sz w:val="24"/>
      <w:szCs w:val="24"/>
      <w:lang w:val="en" w:eastAsia="en-US"/>
      <w14:ligatures w14:val="standardContextual"/>
    </w:rPr>
  </w:style>
  <w:style w:type="character" w:customStyle="1" w:styleId="dropdownelementsdropdownlabel-sc-ajmkw-5">
    <w:name w:val="dropdownelements__dropdownlabel-sc-ajmkw-5"/>
    <w:basedOn w:val="DefaultParagraphFont"/>
    <w:qFormat/>
    <w:rsid w:val="00073ED0"/>
  </w:style>
  <w:style w:type="character" w:customStyle="1" w:styleId="relative">
    <w:name w:val="relative"/>
    <w:basedOn w:val="DefaultParagraphFont"/>
    <w:qFormat/>
    <w:rsid w:val="00073ED0"/>
  </w:style>
  <w:style w:type="character" w:customStyle="1" w:styleId="ml-1">
    <w:name w:val="ml-1"/>
    <w:basedOn w:val="DefaultParagraphFont"/>
    <w:qFormat/>
    <w:rsid w:val="00073ED0"/>
  </w:style>
  <w:style w:type="character" w:customStyle="1" w:styleId="max-w-full">
    <w:name w:val="max-w-full"/>
    <w:basedOn w:val="DefaultParagraphFont"/>
    <w:qFormat/>
    <w:rsid w:val="00073ED0"/>
  </w:style>
  <w:style w:type="character" w:customStyle="1" w:styleId="-mr-1">
    <w:name w:val="-mr-1"/>
    <w:basedOn w:val="DefaultParagraphFont"/>
    <w:qFormat/>
    <w:rsid w:val="00073ED0"/>
  </w:style>
  <w:style w:type="character" w:customStyle="1" w:styleId="rpv-coretext-layer-text">
    <w:name w:val="rpv-core__text-layer-text"/>
    <w:basedOn w:val="DefaultParagraphFont"/>
    <w:qFormat/>
    <w:rsid w:val="00073ED0"/>
  </w:style>
  <w:style w:type="paragraph" w:customStyle="1" w:styleId="Kkontenn">
    <w:name w:val="Kkontenn"/>
    <w:qFormat/>
    <w:rsid w:val="005F5DE7"/>
    <w:pPr>
      <w:spacing w:after="0" w:line="240" w:lineRule="auto"/>
    </w:pPr>
    <w:rPr>
      <w:rFonts w:ascii="Times New Roman" w:eastAsiaTheme="minorHAnsi" w:hAnsi="Times New Roman" w:cs="Times New Roman"/>
      <w:kern w:val="2"/>
      <w:lang w:eastAsia="en-US"/>
      <w14:ligatures w14:val="standardContextual"/>
    </w:rPr>
  </w:style>
  <w:style w:type="paragraph" w:customStyle="1" w:styleId="ListParagraph1">
    <w:name w:val="List Paragraph1"/>
    <w:basedOn w:val="Normal"/>
    <w:rsid w:val="009B555D"/>
    <w:pPr>
      <w:widowControl w:val="0"/>
      <w:autoSpaceDE w:val="0"/>
      <w:autoSpaceDN w:val="0"/>
      <w:spacing w:after="0" w:line="240" w:lineRule="auto"/>
      <w:ind w:left="433" w:hanging="294"/>
      <w:jc w:val="both"/>
    </w:pPr>
    <w:rPr>
      <w:lang w:eastAsia="en-US"/>
    </w:rPr>
  </w:style>
  <w:style w:type="table" w:customStyle="1" w:styleId="PlainTable23">
    <w:name w:val="Plain Table 23"/>
    <w:basedOn w:val="TableNormal"/>
    <w:next w:val="PlainTable2"/>
    <w:uiPriority w:val="42"/>
    <w:rsid w:val="009F0C40"/>
    <w:pPr>
      <w:spacing w:after="0" w:line="240" w:lineRule="auto"/>
    </w:pPr>
    <w:rPr>
      <w:rFonts w:asciiTheme="minorHAnsi" w:eastAsiaTheme="minorHAnsi" w:hAnsiTheme="minorHAnsi" w:cstheme="minorBidi"/>
      <w:kern w:val="2"/>
      <w:lang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el">
    <w:name w:val="Tabel"/>
    <w:basedOn w:val="Caption"/>
    <w:link w:val="TabelChar"/>
    <w:qFormat/>
    <w:rsid w:val="00F00D7C"/>
    <w:pPr>
      <w:spacing w:line="360" w:lineRule="auto"/>
      <w:jc w:val="center"/>
    </w:pPr>
    <w:rPr>
      <w:rFonts w:ascii="Times New Roman" w:eastAsiaTheme="minorHAnsi" w:hAnsi="Times New Roman" w:cstheme="minorBidi"/>
      <w:b/>
      <w:i w:val="0"/>
      <w:color w:val="auto"/>
      <w:sz w:val="24"/>
      <w:lang w:eastAsia="en-US"/>
    </w:rPr>
  </w:style>
  <w:style w:type="character" w:customStyle="1" w:styleId="TabelChar">
    <w:name w:val="Tabel Char"/>
    <w:basedOn w:val="DefaultParagraphFont"/>
    <w:link w:val="Tabel"/>
    <w:rsid w:val="00F00D7C"/>
    <w:rPr>
      <w:rFonts w:ascii="Times New Roman" w:eastAsiaTheme="minorHAnsi" w:hAnsi="Times New Roman" w:cstheme="minorBidi"/>
      <w:b/>
      <w:iCs/>
      <w:sz w:val="24"/>
      <w:szCs w:val="18"/>
      <w:lang w:eastAsia="en-US"/>
    </w:rPr>
  </w:style>
  <w:style w:type="character" w:customStyle="1" w:styleId="fontstyle01">
    <w:name w:val="fontstyle01"/>
    <w:basedOn w:val="DefaultParagraphFont"/>
    <w:rsid w:val="00703352"/>
    <w:rPr>
      <w:rFonts w:ascii="TimesNewRomanPS-ItalicMT" w:hAnsi="TimesNewRomanPS-ItalicMT" w:hint="default"/>
      <w:b w:val="0"/>
      <w:bCs w:val="0"/>
      <w:i/>
      <w:iCs/>
      <w:color w:val="000000"/>
      <w:sz w:val="20"/>
      <w:szCs w:val="20"/>
    </w:rPr>
  </w:style>
  <w:style w:type="table" w:customStyle="1" w:styleId="TableGrid21">
    <w:name w:val="Table Grid21"/>
    <w:basedOn w:val="TableNormal"/>
    <w:next w:val="TableGrid"/>
    <w:uiPriority w:val="39"/>
    <w:rsid w:val="00862540"/>
    <w:pPr>
      <w:spacing w:after="0" w:line="240" w:lineRule="auto"/>
      <w:ind w:firstLine="720"/>
      <w:jc w:val="both"/>
    </w:pPr>
    <w:rPr>
      <w:rFonts w:asciiTheme="minorHAnsi" w:eastAsia="SimSun"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59482F"/>
    <w:pPr>
      <w:widowControl w:val="0"/>
      <w:autoSpaceDE w:val="0"/>
      <w:autoSpaceDN w:val="0"/>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59482F"/>
    <w:pPr>
      <w:widowControl w:val="0"/>
      <w:autoSpaceDE w:val="0"/>
      <w:autoSpaceDN w:val="0"/>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7438"/>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F7438"/>
    <w:rPr>
      <w:rFonts w:ascii="Tahoma" w:eastAsiaTheme="minorHAnsi" w:hAnsi="Tahoma" w:cs="Tahoma"/>
      <w:sz w:val="16"/>
      <w:szCs w:val="16"/>
      <w:lang w:eastAsia="en-US"/>
    </w:rPr>
  </w:style>
  <w:style w:type="table" w:styleId="GridTable4-Accent5">
    <w:name w:val="Grid Table 4 Accent 5"/>
    <w:basedOn w:val="TableNormal"/>
    <w:uiPriority w:val="49"/>
    <w:rsid w:val="00B248D8"/>
    <w:pPr>
      <w:spacing w:after="0" w:line="240" w:lineRule="auto"/>
    </w:pPr>
    <w:rPr>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2">
    <w:name w:val="Grid Table 2 Accent 2"/>
    <w:basedOn w:val="TableNormal"/>
    <w:uiPriority w:val="47"/>
    <w:rsid w:val="005E6CBF"/>
    <w:pPr>
      <w:spacing w:after="0" w:line="240" w:lineRule="auto"/>
    </w:pPr>
    <w:rPr>
      <w:rFonts w:asciiTheme="minorHAnsi" w:eastAsiaTheme="minorHAnsi" w:hAnsiTheme="minorHAnsi" w:cstheme="minorBidi"/>
      <w:lang w:val="en-ID"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NormalGrid">
    <w:name w:val="Normal Grid"/>
    <w:basedOn w:val="TableNormal"/>
    <w:uiPriority w:val="39"/>
    <w:rsid w:val="007C4B16"/>
    <w:pPr>
      <w:spacing w:after="0" w:line="240" w:lineRule="auto"/>
    </w:pPr>
    <w:rPr>
      <w:rFonts w:ascii="Georgia" w:eastAsiaTheme="minorHAnsi" w:hAnsiTheme="minorHAnsi" w:cstheme="minorBidi"/>
      <w:sz w:val="21"/>
      <w:szCs w:val="20"/>
      <w:lang w:val="en-ID" w:eastAsia="en-US"/>
    </w:rPr>
    <w:tblPr>
      <w:tblCellMar>
        <w:top w:w="80" w:type="dxa"/>
        <w:left w:w="160" w:type="dxa"/>
        <w:bottom w:w="80" w:type="dxa"/>
        <w:right w:w="160" w:type="dxa"/>
      </w:tblCellMar>
    </w:tblPr>
  </w:style>
  <w:style w:type="paragraph" w:customStyle="1" w:styleId="Compact">
    <w:name w:val="Compact"/>
    <w:basedOn w:val="BodyText"/>
    <w:qFormat/>
    <w:rsid w:val="007C4B16"/>
    <w:pPr>
      <w:widowControl/>
      <w:autoSpaceDE/>
      <w:autoSpaceDN/>
      <w:spacing w:before="36" w:after="36"/>
    </w:pPr>
    <w:rPr>
      <w:rFonts w:asciiTheme="minorHAnsi" w:eastAsiaTheme="minorHAnsi" w:hAnsiTheme="minorHAnsi" w:cstheme="minorBidi"/>
      <w:sz w:val="24"/>
      <w:szCs w:val="24"/>
      <w:lang w:val="en-US"/>
    </w:rPr>
  </w:style>
  <w:style w:type="table" w:customStyle="1" w:styleId="Table">
    <w:name w:val="Table"/>
    <w:semiHidden/>
    <w:unhideWhenUsed/>
    <w:qFormat/>
    <w:rsid w:val="007C4B16"/>
    <w:pPr>
      <w:spacing w:after="0" w:line="240" w:lineRule="auto"/>
    </w:pPr>
    <w:rPr>
      <w:rFonts w:asciiTheme="minorHAnsi" w:eastAsiaTheme="minorHAnsi" w:hAnsiTheme="minorHAnsi" w:cstheme="minorBidi"/>
      <w:sz w:val="24"/>
      <w:szCs w:val="24"/>
      <w:lang w:val="zh-CN" w:eastAsia="en-US"/>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FirstParagraph">
    <w:name w:val="First Paragraph"/>
    <w:basedOn w:val="BodyText"/>
    <w:next w:val="BodyText"/>
    <w:qFormat/>
    <w:rsid w:val="007C4B16"/>
    <w:pPr>
      <w:widowControl/>
      <w:autoSpaceDE/>
      <w:autoSpaceDN/>
      <w:spacing w:before="180" w:after="180"/>
    </w:pPr>
    <w:rPr>
      <w:rFonts w:asciiTheme="minorHAnsi" w:eastAsiaTheme="minorHAnsi" w:hAnsiTheme="minorHAnsi" w:cstheme="minorBidi"/>
      <w:sz w:val="24"/>
      <w:szCs w:val="24"/>
      <w:lang w:val="en-US"/>
    </w:rPr>
  </w:style>
  <w:style w:type="paragraph" w:customStyle="1" w:styleId="style10">
    <w:name w:val="style 1"/>
    <w:basedOn w:val="Heading3"/>
    <w:link w:val="style1Char0"/>
    <w:qFormat/>
    <w:rsid w:val="00021A57"/>
    <w:pPr>
      <w:keepNext w:val="0"/>
      <w:keepLines w:val="0"/>
      <w:spacing w:before="240" w:after="0" w:line="360" w:lineRule="auto"/>
      <w:ind w:left="1080" w:hanging="918"/>
      <w:jc w:val="both"/>
    </w:pPr>
    <w:rPr>
      <w:rFonts w:ascii="Times New Roman" w:eastAsia="Times New Roman" w:hAnsi="Times New Roman" w:cs="Times New Roman"/>
      <w:i/>
      <w:iCs/>
      <w:sz w:val="24"/>
      <w:szCs w:val="24"/>
      <w:lang w:val="id-ID" w:eastAsia="en-US"/>
    </w:rPr>
  </w:style>
  <w:style w:type="character" w:customStyle="1" w:styleId="style1Char0">
    <w:name w:val="style 1 Char"/>
    <w:basedOn w:val="Heading3Char"/>
    <w:link w:val="style10"/>
    <w:rsid w:val="00021A57"/>
    <w:rPr>
      <w:rFonts w:ascii="Times New Roman" w:eastAsia="Times New Roman" w:hAnsi="Times New Roman" w:cs="Times New Roman"/>
      <w:b/>
      <w:i/>
      <w:iCs/>
      <w:sz w:val="24"/>
      <w:szCs w:val="24"/>
      <w:lang w:val="id-ID" w:eastAsia="en-US"/>
    </w:rPr>
  </w:style>
  <w:style w:type="table" w:customStyle="1" w:styleId="PlainTable24">
    <w:name w:val="Plain Table 24"/>
    <w:basedOn w:val="TableNormal"/>
    <w:next w:val="PlainTable2"/>
    <w:uiPriority w:val="42"/>
    <w:rsid w:val="00493B9A"/>
    <w:pPr>
      <w:spacing w:after="0" w:line="240" w:lineRule="auto"/>
    </w:pPr>
    <w:rPr>
      <w:rFonts w:asciiTheme="minorHAnsi" w:eastAsiaTheme="minorHAnsi" w:hAnsiTheme="minorHAnsi" w:cstheme="minorBidi"/>
      <w:kern w:val="2"/>
      <w:sz w:val="24"/>
      <w:szCs w:val="24"/>
      <w:lang w:val="id-ID"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0">
    <w:name w:val="TableGrid"/>
    <w:rsid w:val="00336FD9"/>
    <w:pPr>
      <w:spacing w:after="0" w:line="240" w:lineRule="auto"/>
    </w:pPr>
    <w:rPr>
      <w:rFonts w:asciiTheme="minorHAnsi" w:eastAsiaTheme="minorEastAsia" w:hAnsiTheme="minorHAnsi" w:cstheme="minorBidi"/>
      <w:kern w:val="2"/>
      <w:sz w:val="24"/>
      <w:szCs w:val="24"/>
      <w:lang w:val="en-ID"/>
      <w14:ligatures w14:val="standardContextual"/>
    </w:rPr>
    <w:tblPr>
      <w:tblCellMar>
        <w:top w:w="0" w:type="dxa"/>
        <w:left w:w="0" w:type="dxa"/>
        <w:bottom w:w="0" w:type="dxa"/>
        <w:right w:w="0" w:type="dxa"/>
      </w:tblCellMar>
    </w:tblPr>
  </w:style>
  <w:style w:type="paragraph" w:styleId="BodyText3">
    <w:name w:val="Body Text 3"/>
    <w:basedOn w:val="Normal"/>
    <w:link w:val="BodyText3Char"/>
    <w:uiPriority w:val="99"/>
    <w:unhideWhenUsed/>
    <w:rsid w:val="005900FD"/>
    <w:pPr>
      <w:spacing w:after="120"/>
    </w:pPr>
    <w:rPr>
      <w:sz w:val="16"/>
      <w:szCs w:val="16"/>
      <w:lang w:eastAsia="id-ID"/>
    </w:rPr>
  </w:style>
  <w:style w:type="character" w:customStyle="1" w:styleId="BodyText3Char">
    <w:name w:val="Body Text 3 Char"/>
    <w:basedOn w:val="DefaultParagraphFont"/>
    <w:link w:val="BodyText3"/>
    <w:uiPriority w:val="99"/>
    <w:rsid w:val="005900FD"/>
    <w:rPr>
      <w:sz w:val="16"/>
      <w:szCs w:val="16"/>
      <w:lang w:eastAsia="id-ID"/>
    </w:rPr>
  </w:style>
  <w:style w:type="paragraph" w:styleId="Bibliography">
    <w:name w:val="Bibliography"/>
    <w:basedOn w:val="Normal"/>
    <w:next w:val="Normal"/>
    <w:uiPriority w:val="37"/>
    <w:unhideWhenUsed/>
    <w:rsid w:val="005900FD"/>
  </w:style>
  <w:style w:type="paragraph" w:styleId="Quote">
    <w:name w:val="Quote"/>
    <w:basedOn w:val="Normal"/>
    <w:next w:val="Normal"/>
    <w:link w:val="QuoteChar"/>
    <w:uiPriority w:val="29"/>
    <w:qFormat/>
    <w:rsid w:val="00BC69D8"/>
    <w:pPr>
      <w:spacing w:after="160" w:line="278" w:lineRule="auto"/>
    </w:pPr>
    <w:rPr>
      <w:rFonts w:asciiTheme="minorHAnsi" w:eastAsiaTheme="minorHAnsi" w:hAnsiTheme="minorHAnsi" w:cstheme="minorBidi"/>
      <w:i/>
      <w:iCs/>
      <w:color w:val="000000" w:themeColor="text1"/>
      <w:kern w:val="2"/>
      <w:sz w:val="24"/>
      <w:szCs w:val="24"/>
      <w:lang w:eastAsia="en-US"/>
      <w14:ligatures w14:val="standardContextual"/>
    </w:rPr>
  </w:style>
  <w:style w:type="character" w:customStyle="1" w:styleId="QuoteChar">
    <w:name w:val="Quote Char"/>
    <w:basedOn w:val="DefaultParagraphFont"/>
    <w:link w:val="Quote"/>
    <w:uiPriority w:val="29"/>
    <w:rsid w:val="00BC69D8"/>
    <w:rPr>
      <w:rFonts w:asciiTheme="minorHAnsi" w:eastAsiaTheme="minorHAnsi" w:hAnsiTheme="minorHAnsi" w:cstheme="minorBidi"/>
      <w:i/>
      <w:iCs/>
      <w:color w:val="000000" w:themeColor="text1"/>
      <w:kern w:val="2"/>
      <w:sz w:val="24"/>
      <w:szCs w:val="24"/>
      <w:lang w:eastAsia="en-US"/>
      <w14:ligatures w14:val="standardContextual"/>
    </w:rPr>
  </w:style>
  <w:style w:type="character" w:customStyle="1" w:styleId="whitespace-normal">
    <w:name w:val="whitespace-normal"/>
    <w:basedOn w:val="DefaultParagraphFont"/>
    <w:qFormat/>
    <w:rsid w:val="00EC5FF4"/>
  </w:style>
  <w:style w:type="paragraph" w:styleId="CommentText">
    <w:name w:val="annotation text"/>
    <w:basedOn w:val="Normal"/>
    <w:link w:val="CommentTextChar"/>
    <w:uiPriority w:val="99"/>
    <w:semiHidden/>
    <w:unhideWhenUsed/>
    <w:rsid w:val="00D716F7"/>
    <w:pPr>
      <w:spacing w:line="240" w:lineRule="auto"/>
    </w:pPr>
    <w:rPr>
      <w:sz w:val="20"/>
      <w:szCs w:val="20"/>
    </w:rPr>
  </w:style>
  <w:style w:type="character" w:customStyle="1" w:styleId="CommentTextChar">
    <w:name w:val="Comment Text Char"/>
    <w:basedOn w:val="DefaultParagraphFont"/>
    <w:link w:val="CommentText"/>
    <w:uiPriority w:val="99"/>
    <w:semiHidden/>
    <w:rsid w:val="00D716F7"/>
    <w:rPr>
      <w:sz w:val="20"/>
      <w:szCs w:val="20"/>
    </w:rPr>
  </w:style>
  <w:style w:type="paragraph" w:styleId="CommentSubject">
    <w:name w:val="annotation subject"/>
    <w:basedOn w:val="CommentText"/>
    <w:next w:val="CommentText"/>
    <w:link w:val="CommentSubjectChar"/>
    <w:uiPriority w:val="99"/>
    <w:semiHidden/>
    <w:unhideWhenUsed/>
    <w:rsid w:val="00D716F7"/>
    <w:pPr>
      <w:spacing w:after="160"/>
    </w:pPr>
    <w:rPr>
      <w:rFonts w:asciiTheme="minorHAnsi" w:eastAsiaTheme="minorEastAsia" w:hAnsiTheme="minorHAnsi" w:cstheme="minorBidi"/>
      <w:b/>
      <w:bCs/>
      <w:kern w:val="2"/>
      <w:lang w:eastAsia="zh-CN"/>
      <w14:ligatures w14:val="standardContextual"/>
    </w:rPr>
  </w:style>
  <w:style w:type="character" w:customStyle="1" w:styleId="CommentSubjectChar">
    <w:name w:val="Comment Subject Char"/>
    <w:basedOn w:val="CommentTextChar"/>
    <w:link w:val="CommentSubject"/>
    <w:uiPriority w:val="99"/>
    <w:semiHidden/>
    <w:rsid w:val="00D716F7"/>
    <w:rPr>
      <w:rFonts w:asciiTheme="minorHAnsi" w:eastAsiaTheme="minorEastAsia" w:hAnsiTheme="minorHAnsi" w:cstheme="minorBidi"/>
      <w:b/>
      <w:bCs/>
      <w:kern w:val="2"/>
      <w:sz w:val="20"/>
      <w:szCs w:val="20"/>
      <w:lang w:eastAsia="zh-CN"/>
      <w14:ligatures w14:val="standardContextual"/>
    </w:rPr>
  </w:style>
  <w:style w:type="paragraph" w:customStyle="1" w:styleId="pdq2pgselectionanchorcontainer">
    <w:name w:val="pdq2pg_selectionanchorcontainer"/>
    <w:basedOn w:val="Normal"/>
    <w:rsid w:val="00A83141"/>
    <w:pPr>
      <w:spacing w:before="100" w:beforeAutospacing="1" w:after="100" w:afterAutospacing="1" w:line="240" w:lineRule="auto"/>
    </w:pPr>
    <w:rPr>
      <w:rFonts w:ascii="Times New Roman" w:eastAsia="Times New Roman" w:hAnsi="Times New Roman" w:cs="Times New Roman"/>
      <w:sz w:val="24"/>
      <w:szCs w:val="24"/>
      <w:lang w:val="en-ID"/>
    </w:rPr>
  </w:style>
  <w:style w:type="character" w:customStyle="1" w:styleId="mord">
    <w:name w:val="mord"/>
    <w:basedOn w:val="DefaultParagraphFont"/>
    <w:rsid w:val="00040790"/>
  </w:style>
  <w:style w:type="table" w:customStyle="1" w:styleId="9">
    <w:name w:val="9"/>
    <w:basedOn w:val="TableNormal"/>
    <w:rsid w:val="00B64AA8"/>
    <w:pPr>
      <w:widowControl w:val="0"/>
      <w:spacing w:after="0" w:line="240" w:lineRule="auto"/>
    </w:pPr>
    <w:rPr>
      <w:rFonts w:ascii="Cambria" w:eastAsia="Cambria" w:hAnsi="Cambria" w:cs="Cambria"/>
      <w:lang w:eastAsia="en-US"/>
    </w:rPr>
    <w:tblPr>
      <w:tblStyleRowBandSize w:val="1"/>
      <w:tblStyleColBandSize w:val="1"/>
    </w:tblPr>
  </w:style>
  <w:style w:type="table" w:customStyle="1" w:styleId="8">
    <w:name w:val="8"/>
    <w:basedOn w:val="TableNormal"/>
    <w:rsid w:val="00B64AA8"/>
    <w:pPr>
      <w:widowControl w:val="0"/>
      <w:spacing w:after="0" w:line="240" w:lineRule="auto"/>
    </w:pPr>
    <w:rPr>
      <w:rFonts w:ascii="Cambria" w:eastAsia="Cambria" w:hAnsi="Cambria" w:cs="Cambria"/>
      <w:lang w:eastAsia="en-US"/>
    </w:rPr>
    <w:tblPr>
      <w:tblStyleRowBandSize w:val="1"/>
      <w:tblStyleColBandSize w:val="1"/>
    </w:tblPr>
  </w:style>
  <w:style w:type="table" w:customStyle="1" w:styleId="7">
    <w:name w:val="7"/>
    <w:basedOn w:val="TableNormal"/>
    <w:rsid w:val="00624F02"/>
    <w:pPr>
      <w:widowControl w:val="0"/>
      <w:spacing w:after="0" w:line="240" w:lineRule="auto"/>
    </w:pPr>
    <w:rPr>
      <w:rFonts w:ascii="Cambria" w:eastAsia="Cambria" w:hAnsi="Cambria" w:cs="Cambria"/>
      <w:lang w:eastAsia="en-US"/>
    </w:rPr>
    <w:tblPr>
      <w:tblStyleRowBandSize w:val="1"/>
      <w:tblStyleColBandSize w:val="1"/>
    </w:tblPr>
  </w:style>
  <w:style w:type="character" w:customStyle="1" w:styleId="citation-89">
    <w:name w:val="citation-89"/>
    <w:basedOn w:val="DefaultParagraphFont"/>
    <w:rsid w:val="00C46319"/>
  </w:style>
  <w:style w:type="character" w:customStyle="1" w:styleId="citation-88">
    <w:name w:val="citation-88"/>
    <w:basedOn w:val="DefaultParagraphFont"/>
    <w:rsid w:val="00C46319"/>
  </w:style>
  <w:style w:type="character" w:customStyle="1" w:styleId="citation-87">
    <w:name w:val="citation-87"/>
    <w:basedOn w:val="DefaultParagraphFont"/>
    <w:rsid w:val="00C46319"/>
  </w:style>
  <w:style w:type="paragraph" w:styleId="List2">
    <w:name w:val="List 2"/>
    <w:basedOn w:val="Normal"/>
    <w:uiPriority w:val="99"/>
    <w:unhideWhenUsed/>
    <w:rsid w:val="00002050"/>
    <w:pPr>
      <w:spacing w:after="0" w:line="360" w:lineRule="auto"/>
      <w:ind w:left="720" w:hanging="360"/>
      <w:contextualSpacing/>
    </w:pPr>
    <w:rPr>
      <w:rFonts w:ascii="Times New Roman" w:eastAsiaTheme="minorEastAsia" w:hAnsi="Times New Roman" w:cstheme="minorBidi"/>
      <w:sz w:val="24"/>
      <w:lang w:eastAsia="en-US"/>
    </w:rPr>
  </w:style>
  <w:style w:type="table" w:customStyle="1" w:styleId="KisiTabel1">
    <w:name w:val="Kisi Tabel1"/>
    <w:basedOn w:val="TableNormal"/>
    <w:next w:val="TableGrid"/>
    <w:uiPriority w:val="39"/>
    <w:rsid w:val="00102963"/>
    <w:pPr>
      <w:spacing w:after="0" w:line="240" w:lineRule="auto"/>
    </w:pPr>
    <w:rPr>
      <w:rFonts w:cs="Arial"/>
      <w:kern w:val="2"/>
      <w:lang w:val="id-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42286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H2">
    <w:name w:val="PH2"/>
    <w:basedOn w:val="BodyText"/>
    <w:qFormat/>
    <w:rsid w:val="0032504F"/>
    <w:pPr>
      <w:spacing w:line="480" w:lineRule="auto"/>
      <w:ind w:left="425" w:right="-51" w:firstLine="709"/>
      <w:jc w:val="both"/>
    </w:pPr>
    <w:rPr>
      <w:rFonts w:eastAsia="Calibri"/>
      <w:sz w:val="24"/>
      <w:szCs w:val="24"/>
      <w:lang w:val="en-US"/>
    </w:rPr>
  </w:style>
  <w:style w:type="character" w:customStyle="1" w:styleId="math-inline">
    <w:name w:val="math-inline"/>
    <w:basedOn w:val="DefaultParagraphFont"/>
    <w:rsid w:val="008A6604"/>
  </w:style>
  <w:style w:type="table" w:styleId="ListTable7Colorful">
    <w:name w:val="List Table 7 Colorful"/>
    <w:basedOn w:val="TableNormal"/>
    <w:uiPriority w:val="52"/>
    <w:rsid w:val="00195495"/>
    <w:pPr>
      <w:widowControl w:val="0"/>
      <w:autoSpaceDE w:val="0"/>
      <w:autoSpaceDN w:val="0"/>
      <w:spacing w:after="0" w:line="240" w:lineRule="auto"/>
    </w:pPr>
    <w:rPr>
      <w:rFonts w:asciiTheme="minorHAnsi" w:eastAsiaTheme="minorHAnsi" w:hAnsiTheme="minorHAnsi" w:cstheme="minorBidi"/>
      <w:color w:val="000000" w:themeColor="text1"/>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my-2">
    <w:name w:val="my-2"/>
    <w:basedOn w:val="Normal"/>
    <w:rsid w:val="00A82441"/>
    <w:pPr>
      <w:spacing w:before="100" w:beforeAutospacing="1" w:after="100" w:afterAutospacing="1" w:line="240" w:lineRule="auto"/>
    </w:pPr>
    <w:rPr>
      <w:rFonts w:ascii="Times New Roman" w:eastAsia="Times New Roman" w:hAnsi="Times New Roman" w:cs="Times New Roman"/>
      <w:sz w:val="24"/>
      <w:szCs w:val="24"/>
      <w:lang w:val="en-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23969/kebijakan.v16i02.14895" TargetMode="External"/><Relationship Id="rId18" Type="http://schemas.openxmlformats.org/officeDocument/2006/relationships/hyperlink" Target="https://peraturan.bpk.go.id/Details/174557/perpres-no-67-tahun-2021"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doi.org/10.62567/micjo.v3i4.3392" TargetMode="External"/><Relationship Id="rId17" Type="http://schemas.openxmlformats.org/officeDocument/2006/relationships/hyperlink" Target="https://doi.org/10.38035/jmpis.v5i3.1998"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5294/jppkmi.v4i2.72895" TargetMode="External"/><Relationship Id="rId20" Type="http://schemas.openxmlformats.org/officeDocument/2006/relationships/hyperlink" Target="https://doi.org/10.36312/10.36312/vol3iss6pp576-58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ahmawani1196@student.unri.ac.id"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26740/publika.v9n2.p201-214" TargetMode="External"/><Relationship Id="rId23" Type="http://schemas.openxmlformats.org/officeDocument/2006/relationships/footer" Target="footer2.xml"/><Relationship Id="rId10" Type="http://schemas.openxmlformats.org/officeDocument/2006/relationships/hyperlink" Target="mailto:hafzana@lecturer.unri.ac.id" TargetMode="External"/><Relationship Id="rId19" Type="http://schemas.openxmlformats.org/officeDocument/2006/relationships/hyperlink" Target="https://peraturan.bpk.go.id/Details/311786/perwali-kota-pekanbaru-no-30-tahun-2023" TargetMode="External"/><Relationship Id="rId4" Type="http://schemas.openxmlformats.org/officeDocument/2006/relationships/styles" Target="styles.xml"/><Relationship Id="rId9" Type="http://schemas.openxmlformats.org/officeDocument/2006/relationships/hyperlink" Target="mailto:Rahmawani1196@student.unri.ac.id" TargetMode="External"/><Relationship Id="rId14" Type="http://schemas.openxmlformats.org/officeDocument/2006/relationships/hyperlink" Target="https://doi.org/10.15294/higeia.v2i2.21291"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e-jurnal.jurnalcenter.com/index.php/micjo" TargetMode="External"/><Relationship Id="rId2" Type="http://schemas.openxmlformats.org/officeDocument/2006/relationships/hyperlink" Target="https://e-jurnal.jurnalcenter.com/index.php/micjo/index" TargetMode="External"/><Relationship Id="rId1" Type="http://schemas.openxmlformats.org/officeDocument/2006/relationships/image" Target="media/image1.png"/><Relationship Id="rId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Natnd</b:Tag>
    <b:SourceType>InternetSite</b:SourceType>
    <b:Guid>{FC39B55D-454F-4BC3-AEC3-1FBB0C0A56E7}</b:Guid>
    <b:Title>History of coffee</b:Title>
    <b:InternetSiteTitle>About Coffee</b:InternetSiteTitle>
    <b:URL>https://www.aboutcoffee.org/origins/history-of-coffee/</b:URL>
    <b:Author>
      <b:Author>
        <b:Corporate>National Coffee Association USA</b:Corporate>
      </b:Author>
    </b:Author>
    <b:Year>2025</b:Year>
    <b:RefOrder>1</b:RefOrder>
  </b:Source>
  <b:Source>
    <b:Tag>Arn05</b:Tag>
    <b:SourceType>JournalArticle</b:SourceType>
    <b:Guid>{235A5E27-4B06-4B1B-BB78-1AF3F378E3BB}</b:Guid>
    <b:Title>Consumer Culture Theory (CCT): Twenty Years of Research</b:Title>
    <b:JournalName>Journal of Consumer Research</b:JournalName>
    <b:Year>2005</b:Year>
    <b:Pages>868–882</b:Pages>
    <b:Author>
      <b:Author>
        <b:NameList>
          <b:Person>
            <b:Last>Arnould</b:Last>
            <b:Middle>J</b:Middle>
            <b:First>Eric</b:First>
          </b:Person>
          <b:Person>
            <b:Last>Thompson</b:Last>
            <b:Middle>J</b:Middle>
            <b:First>Craig</b:First>
          </b:Person>
        </b:NameList>
      </b:Author>
    </b:Author>
    <b:Publisher>University of Chicago Press</b:Publisher>
    <b:Volume>31</b:Volume>
    <b:Issue>4</b:Issue>
    <b:DOI>https://doi.org/10.1086/426626</b:DOI>
    <b:RefOrder>2</b:RefOrder>
  </b:Source>
  <b:Source>
    <b:Tag>USD25</b:Tag>
    <b:SourceType>Report</b:SourceType>
    <b:Guid>{FF8AE72E-8CB3-4CB9-A602-AB3E94558D6C}</b:Guid>
    <b:Title>Coffee annual: Indonesia</b:Title>
    <b:Year>2025</b:Year>
    <b:Publisher>U.S. Department of Agriculture, Foreign Agricultural Service</b:Publisher>
    <b:City>Jakarta</b:City>
    <b:Author>
      <b:Author>
        <b:Corporate>U.S. Department of Agriculture, Foreign Agricultural Service (USDA FAS)</b:Corporate>
      </b:Author>
    </b:Author>
    <b:Department>Foreign Agricultural Service</b:Department>
    <b:Institution>U.S. Department of Agriculture</b:Institution>
    <b:Pages>1–7</b:Pages>
    <b:ThesisType>Annual report</b:ThesisType>
    <b:ShortTitle>Coffee Annual Indonesia 2025</b:ShortTitle>
    <b:StandardNumber>ID2025-0021</b:StandardNumber>
    <b:YearAccessed>2025</b:YearAccessed>
    <b:MonthAccessed>May</b:MonthAccessed>
    <b:DayAccessed>19</b:DayAccessed>
    <b:RefOrder>3</b:RefOrder>
  </b:Source>
  <b:Source>
    <b:Tag>Ott251</b:Tag>
    <b:SourceType>InternetSite</b:SourceType>
    <b:Guid>{306341BB-4038-413F-A081-AC8E5E71C430}</b:Guid>
    <b:Author>
      <b:Author>
        <b:Corporate>Otten Coffee</b:Corporate>
      </b:Author>
    </b:Author>
    <b:Title>Kopi Fest Indonesia 2025 Hadir di Bandung</b:Title>
    <b:InternetSiteTitle>Majalah Otten Coffee</b:InternetSiteTitle>
    <b:Year>2025</b:Year>
    <b:Month>Juni</b:Month>
    <b:Day>16</b:Day>
    <b:URL>https://ottencoffee.co.id/majalah/kopi-fest-indonesia-2025-hadir-di-bandung</b:URL>
    <b:RefOrder>4</b:RefOrder>
  </b:Source>
  <b:Source>
    <b:Tag>Rad25</b:Tag>
    <b:SourceType>InternetSite</b:SourceType>
    <b:Guid>{59E6E5E5-FCB2-44DE-BFC9-C45116FC3547}</b:Guid>
    <b:Author>
      <b:Author>
        <b:Corporate>Radio Republik Indonesia (RRI)</b:Corporate>
      </b:Author>
    </b:Author>
    <b:Title>The Coffee &amp; Beverages Expo 2025, Buka Peluang Bisnis</b:Title>
    <b:InternetSiteTitle>RRI</b:InternetSiteTitle>
    <b:Year>2025</b:Year>
    <b:Month>February</b:Month>
    <b:Day>27</b:Day>
    <b:URL>https://rri.co.id/bandung/bisnis/1356205/the-coffee-beverages-expo-2025-buka-peluang-bisnis</b:URL>
    <b:RefOrder>5</b:RefOrder>
  </b:Source>
  <b:Source>
    <b:Tag>Sum25</b:Tag>
    <b:SourceType>InternetSite</b:SourceType>
    <b:Guid>{35D366C2-939D-43C2-AB2D-21EC0DE69C1A}</b:Guid>
    <b:Author>
      <b:Author>
        <b:Corporate>Summarecon Mall Bandung</b:Corporate>
      </b:Author>
    </b:Author>
    <b:Title>BANDUNG COFFEE CARNIVAL 2025</b:Title>
    <b:InternetSiteTitle>Instagram</b:InternetSiteTitle>
    <b:Year>2025</b:Year>
    <b:Month>November</b:Month>
    <b:Day>17</b:Day>
    <b:URL>https://www.instagram.com/p/DRJw2MREde8/</b:URL>
    <b:RefOrder>6</b:RefOrder>
  </b:Source>
  <b:Source>
    <b:Tag>Wor25</b:Tag>
    <b:SourceType>InternetSite</b:SourceType>
    <b:Guid>{442E06D6-3C6A-4C9A-8A5C-3B434BB3D50D}</b:Guid>
    <b:Author>
      <b:Author>
        <b:Corporate>World AeroPress Championship</b:Corporate>
      </b:Author>
    </b:Author>
    <b:Title>Indonesia – Indonesian AeroPress Championship</b:Title>
    <b:InternetSiteTitle>World AeroPress Championship</b:InternetSiteTitle>
    <b:Year>2025</b:Year>
    <b:URL>https://worldaeropresschampionship.com/pages/indonesia</b:URL>
    <b:RefOrder>7</b:RefOrder>
  </b:Source>
  <b:Source>
    <b:Tag>Kim21</b:Tag>
    <b:SourceType>JournalArticle</b:SourceType>
    <b:Guid>{9F430186-A51B-46AB-B4A9-DDD579F854D5}</b:Guid>
    <b:Title>Experiential value, satisfaction, brand love, and brand loyalty toward robot barista coffee shop: The moderating effect of generation</b:Title>
    <b:JournalName>Sustainability</b:JournalName>
    <b:Year>2021</b:Year>
    <b:Pages>12029</b:Pages>
    <b:Author>
      <b:Author>
        <b:NameList>
          <b:Person>
            <b:Last>Kim</b:Last>
            <b:Middle>Joong</b:Middle>
            <b:First>Young</b:First>
          </b:Person>
          <b:Person>
            <b:Last>Park</b:Last>
            <b:Middle>Sook</b:Middle>
            <b:First>Jung</b:First>
          </b:Person>
          <b:Person>
            <b:Last>Jeon</b:Last>
            <b:Middle>Mo</b:Middle>
            <b:First>Hyeon </b:First>
          </b:Person>
        </b:NameList>
      </b:Author>
    </b:Author>
    <b:Publisher>MDPI</b:Publisher>
    <b:Volume>13</b:Volume>
    <b:Issue>21</b:Issue>
    <b:DOI>https://doi.org/10.3390/su132112029</b:DOI>
    <b:RefOrder>8</b:RefOrder>
  </b:Source>
  <b:Source>
    <b:Tag>Nor23</b:Tag>
    <b:SourceType>JournalArticle</b:SourceType>
    <b:Guid>{FD45C729-3AD5-46E0-A8B6-43FAA2D76449}</b:Guid>
    <b:Title>Expanding the experiential value scale to predict independent restaurant dining intent</b:Title>
    <b:Year>2023</b:Year>
    <b:JournalName>Journal of Hospitality and Tourism Insights</b:JournalName>
    <b:Pages>613-631</b:Pages>
    <b:Author>
      <b:Author>
        <b:NameList>
          <b:Person>
            <b:Last>Norris</b:Last>
            <b:Middle>L</b:Middle>
            <b:First>Cortney</b:First>
          </b:Person>
          <b:Person>
            <b:Last>Russen</b:Last>
            <b:First>Michelle</b:First>
          </b:Person>
          <b:Person>
            <b:Last>Jr</b:Last>
            <b:Middle>Taylor</b:Middle>
            <b:First>Scott</b:First>
          </b:Person>
        </b:NameList>
      </b:Author>
    </b:Author>
    <b:Publisher>Emerald</b:Publisher>
    <b:Volume>6</b:Volume>
    <b:Issue>2</b:Issue>
    <b:DOI>https://doi.org/10.1108/JHTI-09-2021-0252</b:DOI>
    <b:RefOrder>9</b:RefOrder>
  </b:Source>
  <b:Source>
    <b:Tag>Mis23</b:Tag>
    <b:SourceType>JournalArticle</b:SourceType>
    <b:Guid>{9220093F-3815-4055-99B5-A420CF180192}</b:Guid>
    <b:Title>Re-examining post-acceptance model of information systems continuance: A revised theoretical model using MASEM approach</b:Title>
    <b:JournalName>International Journal of Information Management</b:JournalName>
    <b:Year>2023</b:Year>
    <b:Pages>102571</b:Pages>
    <b:Author>
      <b:Author>
        <b:NameList>
          <b:Person>
            <b:Last>Mishra</b:Last>
            <b:First>Anubhav</b:First>
          </b:Person>
          <b:Person>
            <b:Last>Shukla</b:Last>
            <b:First>Anuja</b:First>
          </b:Person>
          <b:Person>
            <b:Last>Rana</b:Last>
            <b:Middle>P</b:Middle>
            <b:First>Nripendra</b:First>
          </b:Person>
          <b:Person>
            <b:Last>Currie</b:Last>
            <b:Middle>L</b:Middle>
            <b:First>Wendy</b:First>
          </b:Person>
          <b:Person>
            <b:Last>Dwivedi</b:Last>
            <b:Middle>K</b:Middle>
            <b:First>Yogesh</b:First>
          </b:Person>
        </b:NameList>
      </b:Author>
    </b:Author>
    <b:Publisher>Elsevier</b:Publisher>
    <b:Volume>68</b:Volume>
    <b:DOI>https://doi.org/10.1016/j.ijinfomgt.2022.102571</b:DOI>
    <b:RefOrder>10</b:RefOrder>
  </b:Source>
  <b:Source>
    <b:Tag>Baz23</b:Tag>
    <b:SourceType>JournalArticle</b:SourceType>
    <b:Guid>{E3DC1877-BF40-4BF5-87BA-6FAAC76C8B70}</b:Guid>
    <b:Title>Social media content aesthetic quality and customer engagement: The mediating role of entertainment and impacts on brand love and loyalty</b:Title>
    <b:JournalName>Journal of Business Research</b:JournalName>
    <b:Year>2023</b:Year>
    <b:Pages>113778</b:Pages>
    <b:Author>
      <b:Author>
        <b:NameList>
          <b:Person>
            <b:Last>Bazi</b:Last>
            <b:First>Saleh</b:First>
          </b:Person>
          <b:Person>
            <b:Last>Filieri</b:Last>
            <b:First>Raffaele</b:First>
          </b:Person>
          <b:Person>
            <b:Last>Gorton</b:Last>
            <b:First>Matthew</b:First>
          </b:Person>
        </b:NameList>
      </b:Author>
    </b:Author>
    <b:Publisher>Elsevier</b:Publisher>
    <b:Volume>160</b:Volume>
    <b:DOI>https://doi.org/10.1016/j.jbusres.2023.113778</b:DOI>
    <b:RefOrder>11</b:RefOrder>
  </b:Source>
  <b:Source>
    <b:Tag>Ahm23</b:Tag>
    <b:SourceType>JournalArticle</b:SourceType>
    <b:Guid>{D4B25911-1128-48EE-84E8-1290109D4C08}</b:Guid>
    <b:Title>The intricate relationships of consumers’ loyalty and their perceptions of service quality, price and satisfaction in restaurant service</b:Title>
    <b:JournalName>The TQM Journal</b:JournalName>
    <b:Year>2023</b:Year>
    <b:Pages>519-539</b:Pages>
    <b:Author>
      <b:Author>
        <b:NameList>
          <b:Person>
            <b:Last>Ahmed</b:Last>
            <b:First>Selim</b:First>
          </b:Person>
          <b:Person>
            <b:Last>Asheq</b:Last>
            <b:Middle>Al</b:Middle>
            <b:First>Ahmed</b:First>
          </b:Person>
          <b:Person>
            <b:Last>Ahmed</b:Last>
            <b:First>Ezaz</b:First>
          </b:Person>
          <b:Person>
            <b:Last>Chowdhury</b:Last>
            <b:Middle>Yaman</b:Middle>
            <b:First>Ujjal</b:First>
          </b:Person>
          <b:Person>
            <b:Last>Sufi</b:Last>
            <b:First>Tahir</b:First>
          </b:Person>
          <b:Person>
            <b:Last>Mostofa</b:Last>
            <b:Middle>Golam</b:Middle>
            <b:First>Md</b:First>
          </b:Person>
        </b:NameList>
      </b:Author>
    </b:Author>
    <b:Publisher>Emerald</b:Publisher>
    <b:Volume>35</b:Volume>
    <b:Issue>2</b:Issue>
    <b:DOI>https://doi.org/10.1108/TQM-06-2021-0158</b:DOI>
    <b:RefOrder>12</b:RefOrder>
  </b:Source>
  <b:Source>
    <b:Tag>Kla23</b:Tag>
    <b:SourceType>JournalArticle</b:SourceType>
    <b:Guid>{9D59C5AC-7148-4178-B841-BE545E05790D}</b:Guid>
    <b:Title>Where is customer experience (CX) research heading? A personal commentary</b:Title>
    <b:JournalName>Journal of Services Marketing</b:JournalName>
    <b:Year>2023</b:Year>
    <b:Pages>700–705</b:Pages>
    <b:Author>
      <b:Author>
        <b:NameList>
          <b:Person>
            <b:Last>Klaus</b:Last>
            <b:First>P</b:First>
          </b:Person>
        </b:NameList>
      </b:Author>
    </b:Author>
    <b:Publisher>Emerald Publishing</b:Publisher>
    <b:Volume>37</b:Volume>
    <b:Issue>6</b:Issue>
    <b:DOI>https://doi.org/10.1108/JSM-05-2022-0169</b:DOI>
    <b:RefOrder>13</b:RefOrder>
  </b:Source>
  <b:Source>
    <b:Tag>Ano24</b:Tag>
    <b:SourceType>JournalArticle</b:SourceType>
    <b:Guid>{A763E1D2-0AE0-4472-9565-CC33958D5F37}</b:Guid>
    <b:Title>Coffee Visitor Profiles in Slow Bar at Megapolitan Cities: Insights from Bangkok and Jakarta</b:Title>
    <b:JournalName>European Modern Studies Journal</b:JournalName>
    <b:Year>2024</b:Year>
    <b:Pages>123-143</b:Pages>
    <b:Author>
      <b:Author>
        <b:NameList>
          <b:Person>
            <b:Last>Anom</b:Last>
            <b:Middle>Indra Pratama</b:Middle>
            <b:First>Rahmat</b:First>
          </b:Person>
          <b:Person>
            <b:Last>Arafah</b:Last>
            <b:First>Willy</b:First>
          </b:Person>
          <b:Person>
            <b:First>Nurbaeti</b:First>
          </b:Person>
          <b:Person>
            <b:Last>Ingkadijaya</b:Last>
            <b:First>Rahmat</b:First>
          </b:Person>
        </b:NameList>
      </b:Author>
    </b:Author>
    <b:Publisher>Loro Journals</b:Publisher>
    <b:Volume>8</b:Volume>
    <b:Issue>6</b:Issue>
    <b:DOI>https://doi.org/10.59573/emsj.8(6).2024.10</b:DOI>
    <b:RefOrder>14</b:RefOrder>
  </b:Source>
  <b:Source>
    <b:Tag>Che23</b:Tag>
    <b:SourceType>JournalArticle</b:SourceType>
    <b:Guid>{5159058A-D468-448C-8D5A-8D6034A32D2B}</b:Guid>
    <b:Title>Effects of involvement on the loyalty of specialty coffee consumers</b:Title>
    <b:JournalName>International Journal of Business &amp; Management Studies</b:JournalName>
    <b:Year>2023</b:Year>
    <b:Pages>32–44</b:Pages>
    <b:Author>
      <b:Author>
        <b:NameList>
          <b:Person>
            <b:Last>Chen</b:Last>
            <b:First> C. T</b:First>
          </b:Person>
          <b:Person>
            <b:Last>Sun</b:Last>
            <b:First>H. N</b:First>
          </b:Person>
        </b:NameList>
      </b:Author>
    </b:Author>
    <b:Publisher>Institute for Promoting Research &amp; Policy Development (IPRPD)</b:Publisher>
    <b:Volume>4</b:Volume>
    <b:Issue>9</b:Issue>
    <b:DOI>https://doi.org/10.56734/ijbms.v4n9a3</b:DOI>
    <b:RefOrder>15</b:RefOrder>
  </b:Source>
  <b:Source>
    <b:Tag>KoJ23</b:Tag>
    <b:SourceType>JournalArticle</b:SourceType>
    <b:Guid>{E98BF839-33CF-42F9-91A2-0794EABDD6B9}</b:Guid>
    <b:Title>Experiential Value, Overall Image, Revisit Intention, and Willingness to Pay a Premium in the Context of Environmentally Certified Hotel Restaurants: The Moderating Effect of Environmental Consciousness</b:Title>
    <b:JournalName>Sustainability</b:JournalName>
    <b:Year>2023</b:Year>
    <b:Pages>12913</b:Pages>
    <b:Publisher>MDPI</b:Publisher>
    <b:Volume>15</b:Volume>
    <b:Issue>17</b:Issue>
    <b:DOI>https://doi.org/10.3390/su151712913</b:DOI>
    <b:Author>
      <b:Author>
        <b:NameList>
          <b:Person>
            <b:Last>Ko</b:Last>
            <b:First>Ju-Hee</b:First>
          </b:Person>
          <b:Person>
            <b:Last>Kang</b:Last>
            <b:First>Hee-Seog</b:First>
          </b:Person>
          <b:Person>
            <b:Last>Seo</b:Last>
            <b:First>Jung-Woon</b:First>
          </b:Person>
        </b:NameList>
      </b:Author>
    </b:Author>
    <b:RefOrder>16</b:RefOrder>
  </b:Source>
  <b:Source>
    <b:Tag>Rob</b:Tag>
    <b:SourceType>JournalArticle</b:SourceType>
    <b:Guid>{B835A589-9125-4B8E-97E9-22451BC97F57}</b:Guid>
    <b:Title>How deep is your love? The brand love-loyalty matrix in consumer-brand relationships</b:Title>
    <b:Author>
      <b:Author>
        <b:NameList>
          <b:Person>
            <b:Last>Robertson</b:Last>
            <b:First>Jeandri</b:First>
          </b:Person>
          <b:Person>
            <b:Last>Botha </b:Last>
            <b:First>Elsamari</b:First>
          </b:Person>
          <b:Person>
            <b:Last>Ferreira</b:Last>
            <b:First>Caitlin</b:First>
          </b:Person>
          <b:Person>
            <b:Last>Pitt </b:Last>
            <b:First>Leyland</b:First>
          </b:Person>
        </b:NameList>
      </b:Author>
    </b:Author>
    <b:JournalName>Journal of Business Research</b:JournalName>
    <b:Year>2022</b:Year>
    <b:Pages>651-662</b:Pages>
    <b:LCID>en-ID</b:LCID>
    <b:Publisher>Elsevier</b:Publisher>
    <b:Volume>149</b:Volume>
    <b:DOI>https://doi.org/10.1016/j.jbusres.2022.05.058</b:DOI>
    <b:RefOrder>17</b:RefOrder>
  </b:Source>
  <b:Source>
    <b:Tag>Kre70</b:Tag>
    <b:SourceType>JournalArticle</b:SourceType>
    <b:Guid>{872B36C3-B44F-46B7-B2CF-95DAE8E69E7C}</b:Guid>
    <b:Title>Determining Sample Size for Research Activities</b:Title>
    <b:Year>1970</b:Year>
    <b:Publisher>SAGE Publications</b:Publisher>
    <b:JournalName>Educational and Psychological Measurement</b:JournalName>
    <b:Pages>607–610</b:Pages>
    <b:Author>
      <b:Author>
        <b:NameList>
          <b:Person>
            <b:Last>Krejcie</b:Last>
            <b:Middle>V</b:Middle>
            <b:First>Robert </b:First>
          </b:Person>
          <b:Person>
            <b:Last>Morgan</b:Last>
            <b:Middle>W</b:Middle>
            <b:First>Daryle</b:First>
          </b:Person>
        </b:NameList>
      </b:Author>
    </b:Author>
    <b:Volume>30</b:Volume>
    <b:Issue>3</b:Issue>
    <b:DOI>https://doi.org/10.1177/001316447003000308</b:DOI>
    <b:RefOrder>18</b:RefOrder>
  </b:Source>
  <b:Source>
    <b:Tag>JrJ97</b:Tag>
    <b:SourceType>Book</b:SourceType>
    <b:Guid>{191B6497-85C6-46ED-9ABD-89B1126BB8B8}</b:Guid>
    <b:Title>Partial Least Squares Structural Equation Modeling (PLS-SEM) Using R</b:Title>
    <b:Year>2021</b:Year>
    <b:Publisher>Springer Nature</b:Publisher>
    <b:Author>
      <b:Author>
        <b:NameList>
          <b:Person>
            <b:Last>Hair Jr.</b:Last>
            <b:First>Joseph F.</b:First>
          </b:Person>
          <b:Person>
            <b:Last>Hult, G</b:Last>
            <b:First>Tomas M</b:First>
          </b:Person>
          <b:Person>
            <b:Last>Ringle</b:Last>
            <b:First>Christian M</b:First>
          </b:Person>
          <b:Person>
            <b:Last>Sarstedt</b:Last>
            <b:First>Marko</b:First>
          </b:Person>
          <b:Person>
            <b:Last>Danks</b:Last>
            <b:First> Nicholas P</b:First>
          </b:Person>
          <b:Person>
            <b:Last>Ray</b:Last>
            <b:First>Soumya</b:First>
          </b:Person>
        </b:NameList>
      </b:Author>
    </b:Author>
    <b:DOI>https://doi.org/10.1007/978-3-030-80519-7</b:DOI>
    <b:RefOrder>19</b:RefOrder>
  </b:Source>
  <b:Source>
    <b:Tag>Ahm00</b:Tag>
    <b:SourceType>Book</b:SourceType>
    <b:Guid>{B13CFAB5-C583-4B49-9F9F-1198C839061A}</b:Guid>
    <b:Author>
      <b:Author>
        <b:NameList>
          <b:Person>
            <b:Last>Basyir</b:Last>
            <b:First>Ahmad</b:First>
            <b:Middle>Azhar</b:Middle>
          </b:Person>
        </b:NameList>
      </b:Author>
    </b:Author>
    <b:Title>Hukum Perkawinan Islam</b:Title>
    <b:Year>2000</b:Year>
    <b:City>Yogyakarta</b:City>
    <b:Publisher>UII Press</b:Publisher>
    <b:RefOrder>1</b:RefOrder>
  </b:Source>
  <b:Source>
    <b:Tag>Ine25</b:Tag>
    <b:SourceType>JournalArticle</b:SourceType>
    <b:Guid>{4806312F-3FD2-4860-9A20-E6140E95918F}</b:Guid>
    <b:Title>Pengaruh Budaya Dan Tradisi Terhadap Nikah Siri di Indonesia</b:Title>
    <b:Year>2025</b:Year>
    <b:Author>
      <b:Author>
        <b:NameList>
          <b:Person>
            <b:Last>Dina</b:Last>
            <b:First>Ines</b:First>
            <b:Middle>Aulia</b:Middle>
          </b:Person>
        </b:NameList>
      </b:Author>
    </b:Author>
    <b:JournalName>Landraad: Jurnal Syariah &amp; Hukum Bisnis, Volume 4, Nomor 1</b:JournalName>
    <b:Pages>88</b:Pages>
    <b:RefOrder>2</b:RefOrder>
  </b:Source>
  <b:Source>
    <b:Tag>Mar071</b:Tag>
    <b:SourceType>Book</b:SourceType>
    <b:Guid>{F85801C5-2364-40D2-A238-C74996C97E6D}</b:Guid>
    <b:Title> Hukum Perkawinan Indonesia</b:Title>
    <b:Year>2007</b:Year>
    <b:Author>
      <b:Author>
        <b:NameList>
          <b:Person>
            <b:Last>Prodjohamidjojo</b:Last>
            <b:First>Martiman</b:First>
          </b:Person>
        </b:NameList>
      </b:Author>
    </b:Author>
    <b:City>Indonesia Legal Center Publishing</b:City>
    <b:Publisher>Karya Gemilang</b:Publisher>
    <b:RefOrder>3</b:RefOrder>
  </b:Source>
  <b:Source>
    <b:Tag>Viv191</b:Tag>
    <b:SourceType>Book</b:SourceType>
    <b:Guid>{E789EEE2-8179-4C31-8CF1-6B0904BC8B51}</b:Guid>
    <b:Author>
      <b:Author>
        <b:NameList>
          <b:Person>
            <b:Last>Kurniawati</b:Last>
            <b:First>Vivi</b:First>
          </b:Person>
        </b:NameList>
      </b:Author>
    </b:Author>
    <b:Title>Nikah Sirri</b:Title>
    <b:Year>2019</b:Year>
    <b:City>Jakarta Selatan</b:City>
    <b:Publisher>Rumah Publishing</b:Publisher>
    <b:RefOrder>4</b:RefOrder>
  </b:Source>
  <b:Source>
    <b:Tag>Fit25</b:Tag>
    <b:SourceType>JournalArticle</b:SourceType>
    <b:Guid>{FFD9D7C4-0D69-444D-9392-CDDB07FFF4B2}</b:Guid>
    <b:Title>Nikah Siri dan Dampaknya Terhadap Hak Perempuan dan Anak dalam Itsbat Nikah</b:Title>
    <b:Year>2025</b:Year>
    <b:Author>
      <b:Author>
        <b:NameList>
          <b:Person>
            <b:Last>Ningrum</b:Last>
            <b:First>Fitria</b:First>
            <b:Middle>Wahyu</b:Middle>
          </b:Person>
        </b:NameList>
      </b:Author>
    </b:Author>
    <b:JournalName>Tadhkirah: Jurnal Terapan Hukum Islam dan Kajian Filsafat Syariah, Volume 2, Nomor 1</b:JournalName>
    <b:Pages>125</b:Pages>
    <b:RefOrder>5</b:RefOrder>
  </b:Source>
  <b:Source>
    <b:Tag>Pap25</b:Tag>
    <b:SourceType>JournalArticle</b:SourceType>
    <b:Guid>{E99B9DC6-8D7E-4B2B-9B5C-818809BD9CC2}</b:Guid>
    <b:Title>Penetapan Isbat Nikah Di Bawah Umur Dan Pencatatannya di Kantor Urusan Agama</b:Title>
    <b:Year>2025</b:Year>
    <b:Author>
      <b:Author>
        <b:NameList>
          <b:Person>
            <b:Last>Paputungan</b:Last>
            <b:First>S</b:First>
          </b:Person>
          <b:Person>
            <b:Last>Moonti</b:Last>
            <b:First>R.</b:First>
            <b:Middle>M</b:Middle>
          </b:Person>
          <b:Person>
            <b:Last>Ahmad</b:Last>
            <b:First>I.</b:First>
          </b:Person>
        </b:NameList>
      </b:Author>
    </b:Author>
    <b:JournalName>Amandemen, Vol. 2, No. 1</b:JournalName>
    <b:Pages>167</b:Pages>
    <b:RefOrder>6</b:RefOrder>
  </b:Source>
  <b:Source>
    <b:Tag>Fat25</b:Tag>
    <b:SourceType>JournalArticle</b:SourceType>
    <b:Guid>{FE5D6A54-1B8E-4E92-ADF4-87E52E40810B}</b:Guid>
    <b:Author>
      <b:Author>
        <b:NameList>
          <b:Person>
            <b:Last>Balagaize</b:Last>
            <b:First>Fatmawati</b:First>
          </b:Person>
          <b:Person>
            <b:Last>Juhanis</b:Last>
            <b:First>Hasan</b:First>
            <b:Middle>Bin</b:Middle>
          </b:Person>
          <b:Person>
            <b:Last>Samudin</b:Last>
            <b:First>Rapung</b:First>
          </b:Person>
        </b:NameList>
      </b:Author>
    </b:Author>
    <b:Title>Pandangan Masyarakat Terhadap Fenomena Nikah Siri Dan Dampaknya Bagi Kehidupan Sosisal (Studi Kasus Di Kecamatan Manggala, Kota Makassar)</b:Title>
    <b:JournalName>JICN: Jurnal Intelek dan Cendikiawan Nusantara, Vol. 1, No. 6</b:JournalName>
    <b:Year>2025</b:Year>
    <b:Pages>188</b:Pages>
    <b:RefOrder>7</b:RefOrder>
  </b:Source>
  <b:Source>
    <b:Tag>Ern26</b:Tag>
    <b:SourceType>JournalArticle</b:SourceType>
    <b:Guid>{0DF7B1C3-2263-46BC-AA1D-D19586BD4485}</b:Guid>
    <b:Author>
      <b:Author>
        <b:NameList>
          <b:Person>
            <b:Last>Siregar</b:Last>
            <b:First>Erni</b:First>
            <b:Middle>Sulhati Roudho</b:Middle>
          </b:Person>
          <b:Person>
            <b:Last>Hasanah</b:Last>
            <b:First>Uswatun</b:First>
          </b:Person>
        </b:NameList>
      </b:Author>
    </b:Author>
    <b:Title>Problematika Nikah Siri di Indonesia (Tinjauan Hukum Islam dan Hukum Nasional)</b:Title>
    <b:JournalName>Demokrasi: Jurnal Riset Ilmu Hukum, Sosial dan Politik, Volume 3, Nomor 1</b:JournalName>
    <b:Year>2026</b:Year>
    <b:Pages>201</b:Pages>
    <b:RefOrder>8</b:RefOrder>
  </b:Source>
  <b:Source>
    <b:Tag>Ida171</b:Tag>
    <b:SourceType>JournalArticle</b:SourceType>
    <b:Guid>{134D29C5-1768-4856-AA75-DF9FE976903F}</b:Guid>
    <b:Author>
      <b:Author>
        <b:NameList>
          <b:Person>
            <b:Last>Hendarsih</b:Last>
            <b:First>Ida</b:First>
          </b:Person>
        </b:NameList>
      </b:Author>
    </b:Author>
    <b:Title>Strategi Membeli Initial Public Offering (IPO)</b:Title>
    <b:JournalName>Jurnal Moneter, IV (2) </b:JournalName>
    <b:Year>2017</b:Year>
    <b:Pages>102</b:Pages>
    <b:RefOrder>9</b:RefOrder>
  </b:Source>
  <b:Source>
    <b:Tag>Sug185</b:Tag>
    <b:SourceType>Book</b:SourceType>
    <b:Guid>{3F0946DE-424B-413C-BDBB-9416D5C8344A}</b:Guid>
    <b:Title>Metode Penelitian Bisnis Menggunakan Analisis Tabel</b:Title>
    <b:Year>2018 </b:Year>
    <b:Author>
      <b:Author>
        <b:NameList>
          <b:Person>
            <b:Last>Sugiyono</b:Last>
          </b:Person>
        </b:NameList>
      </b:Author>
    </b:Author>
    <b:City>Bandung</b:City>
    <b:Publisher>Alfabeta</b:Publisher>
    <b:RefOrder>10</b:RefOrder>
  </b:Source>
  <b:Source>
    <b:Tag>Nen10</b:Tag>
    <b:SourceType>Book</b:SourceType>
    <b:Guid>{8FD9587E-3E40-46B4-A967-BCACA2D1976C}</b:Guid>
    <b:Author>
      <b:Author>
        <b:NameList>
          <b:Person>
            <b:Last>Djubaedah</b:Last>
            <b:First>Neng</b:First>
          </b:Person>
        </b:NameList>
      </b:Author>
    </b:Author>
    <b:Title>Pencatatan Perkawinan dan Perkawinan Tidak Dicatat Menurut Hukum Tertulis di Indonesia dan Hukum Islam</b:Title>
    <b:Year>2010</b:Year>
    <b:City>Jakarta</b:City>
    <b:Publisher>Sinar Grafika</b:Publisher>
    <b:RefOrder>11</b:RefOrder>
  </b:Source>
  <b:Source>
    <b:Tag>Hap07</b:Tag>
    <b:SourceType>Book</b:SourceType>
    <b:Guid>{2F6EDBFF-292A-4263-A6FE-D645BD7D42D6}</b:Guid>
    <b:Author>
      <b:Author>
        <b:NameList>
          <b:Person>
            <b:Last>Susanto</b:Last>
            <b:First>Happy</b:First>
          </b:Person>
        </b:NameList>
      </b:Author>
    </b:Author>
    <b:Title>Nikah Sirri Apa Untungnya?</b:Title>
    <b:Year>2007</b:Year>
    <b:City>Jakarta</b:City>
    <b:Publisher>Visi Media</b:Publisher>
    <b:RefOrder>12</b:RefOrder>
  </b:Source>
  <b:Source>
    <b:Tag>End21</b:Tag>
    <b:SourceType>JournalArticle</b:SourceType>
    <b:Guid>{B0520090-E627-4151-9F3E-090746427682}</b:Guid>
    <b:Title>Nikah Sirri Menurut Hukum Islam Dan Hukum Positif</b:Title>
    <b:Year>2021</b:Year>
    <b:Author>
      <b:Author>
        <b:NameList>
          <b:Person>
            <b:Last>Zakaria</b:Last>
            <b:First>Endang</b:First>
          </b:Person>
          <b:Person>
            <b:Last>Saad</b:Last>
            <b:First>Muhammad</b:First>
          </b:Person>
        </b:NameList>
      </b:Author>
    </b:Author>
    <b:JournalName>Kordinat: Jurnal Komunikasi Antar Perguruan Tinggi Agama Islam, Vol. XX, No. 2</b:JournalName>
    <b:Pages>22</b:Pages>
    <b:RefOrder>13</b:RefOrder>
  </b:Source>
  <b:Source>
    <b:Tag>Eff05</b:Tag>
    <b:SourceType>Book</b:SourceType>
    <b:Guid>{D9611DA1-D12B-4DD0-BB01-29307DBE0DC4}</b:Guid>
    <b:Title>Nikah Sirri Tersesat di Jalan Yang Benar, Cet.I</b:Title>
    <b:Year>2005</b:Year>
    <b:City>Bandung</b:City>
    <b:Publisher>Kepustakaan Eja Insani</b:Publisher>
    <b:Author>
      <b:Author>
        <b:NameList>
          <b:Person>
            <b:Last>Setiawan</b:Last>
            <b:First>Effi</b:First>
          </b:Person>
        </b:NameList>
      </b:Author>
    </b:Author>
    <b:RefOrder>14</b:RefOrder>
  </b:Source>
  <b:Source>
    <b:Tag>Sus07</b:Tag>
    <b:SourceType>Book</b:SourceType>
    <b:Guid>{BD3DAC0A-F76B-43AC-99B7-C840328DFA13}</b:Guid>
    <b:Author>
      <b:Author>
        <b:NameList>
          <b:Person>
            <b:Last>Susanto</b:Last>
          </b:Person>
        </b:NameList>
      </b:Author>
    </b:Author>
    <b:Title>Nikah Sirri Apa Untungnya, Cet.I</b:Title>
    <b:Year>2007</b:Year>
    <b:City>Jakarta</b:City>
    <b:Publisher>Visimedia</b:Publisher>
    <b:RefOrder>15</b:RefOrder>
  </b:Source>
  <b:Source>
    <b:Tag>Her24</b:Tag>
    <b:SourceType>JournalArticle</b:SourceType>
    <b:Guid>{FFF2062B-BCAD-459D-B4A9-8E6F0B5CC046}</b:Guid>
    <b:Title>Pernikahan Siri Dan Implikasinya Terhadap Hak Dan Identitas Anak</b:Title>
    <b:Year>2024</b:Year>
    <b:Author>
      <b:Author>
        <b:NameList>
          <b:Person>
            <b:Last>Herlina</b:Last>
          </b:Person>
          <b:Person>
            <b:Last>Rifa’i</b:Last>
            <b:First>Muhammad</b:First>
          </b:Person>
          <b:Person>
            <b:Last>Fhirley</b:Last>
          </b:Person>
          <b:Person>
            <b:Last>Noviani</b:Last>
            <b:First>Dwi</b:First>
          </b:Person>
        </b:NameList>
      </b:Author>
    </b:Author>
    <b:JournalName>Student Research Journal, Vol. 2, No. 3</b:JournalName>
    <b:Pages>29</b:Pages>
    <b:RefOrder>16</b:RefOrder>
  </b:Source>
  <b:Source>
    <b:Tag>Yus12</b:Tag>
    <b:SourceType>Book</b:SourceType>
    <b:Guid>{3D185220-EFCE-4EB0-A26A-7258CB69D725}</b:Guid>
    <b:Title>Fiqh al-Awlawiyyat: Dirasah Jadidah fi Dhaw' al-Qur'an wa alSunnah</b:Title>
    <b:Year>2012</b:Year>
    <b:Author>
      <b:Author>
        <b:NameList>
          <b:Person>
            <b:Last>al-Qaradawi</b:Last>
            <b:First>Yusuf</b:First>
          </b:Person>
        </b:NameList>
      </b:Author>
    </b:Author>
    <b:City>Kairo</b:City>
    <b:Publisher>Al-Maktab al-Islami</b:Publisher>
    <b:RefOrder>17</b:RefOrder>
  </b:Source>
  <b:Source>
    <b:Tag>Wah20</b:Tag>
    <b:SourceType>Book</b:SourceType>
    <b:Guid>{7AEB8D47-D263-46DD-B088-D18BED0DB431}</b:Guid>
    <b:Author>
      <b:Author>
        <b:NameList>
          <b:Person>
            <b:Last>al-Zuhaili</b:Last>
            <b:First>Wahbah</b:First>
          </b:Person>
        </b:NameList>
      </b:Author>
    </b:Author>
    <b:Title>Al-Fiqh al-Islami wa Adillatuhu, Jilid 9</b:Title>
    <b:Year>2020</b:Year>
    <b:City>Beirut</b:City>
    <b:Publisher>Dar al-Fikr</b:Publisher>
    <b:RefOrder>18</b:RefOrder>
  </b:Source>
  <b:Source>
    <b:Tag>Sya25</b:Tag>
    <b:SourceType>JournalArticle</b:SourceType>
    <b:Guid>{FFB91277-4C58-4E4C-A92B-E62D980D70B0}</b:Guid>
    <b:Title>Pernikahan Siri Dalam Perspektif Maslahah Mursalah</b:Title>
    <b:Year>2025</b:Year>
    <b:Author>
      <b:Author>
        <b:NameList>
          <b:Person>
            <b:Last>Nurrahmah</b:Last>
            <b:First>Syafira</b:First>
            <b:Middle>Aulia</b:Middle>
          </b:Person>
          <b:Person>
            <b:Last>Sa`adah</b:Last>
            <b:First>Ummu</b:First>
          </b:Person>
        </b:NameList>
      </b:Author>
    </b:Author>
    <b:JournalName>Jurnal Studi, Sosial, Dan Ekonomi, Vol. 6, No. 1</b:JournalName>
    <b:Pages>111</b:Pages>
    <b:RefOrder>19</b:RefOrder>
  </b:Source>
  <b:Source>
    <b:Tag>Ima21</b:Tag>
    <b:SourceType>JournalArticle</b:SourceType>
    <b:Guid>{6572172D-AA4A-4EED-B7CD-C823EC5A9E74}</b:Guid>
    <b:Author>
      <b:Author>
        <b:NameList>
          <b:Person>
            <b:Last>Hafas</b:Last>
            <b:First>Imam</b:First>
          </b:Person>
        </b:NameList>
      </b:Author>
    </b:Author>
    <b:Title>Pernikahan Sirri Dalam Perspektif Hukum Islam Dan Hukum Positif</b:Title>
    <b:JournalName>Tahkim (Jurnal Peradaban Dan Hukum Islam), Vol. 4, No. 1 </b:JournalName>
    <b:Year>2021</b:Year>
    <b:Pages>41</b:Pages>
    <b:RefOrder>20</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ZL/MLgzphRcNZNObaEQ5EBQ7/Q==">CgMxLjAyCGguZ2pkZ3hzMgloLjMwajB6bGw4AHIhMVlhRkEydDJLdGtTcDJWcWZYNVp5ekhERXN0QU1BOHFw</go:docsCustomData>
</go:gDocsCustomXmlDataStorage>
</file>

<file path=customXml/itemProps1.xml><?xml version="1.0" encoding="utf-8"?>
<ds:datastoreItem xmlns:ds="http://schemas.openxmlformats.org/officeDocument/2006/customXml" ds:itemID="{C5087582-64F7-4695-9AED-13A993554F4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1783</TotalTime>
  <Pages>12</Pages>
  <Words>6484</Words>
  <Characters>36960</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User</cp:lastModifiedBy>
  <cp:revision>929</cp:revision>
  <cp:lastPrinted>2026-09-20T14:33:00Z</cp:lastPrinted>
  <dcterms:created xsi:type="dcterms:W3CDTF">2026-04-16T01:39:00Z</dcterms:created>
  <dcterms:modified xsi:type="dcterms:W3CDTF">2026-10-22T14:35:00Z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http://csl.mendeley.com/styles/506740171/vancouver</vt:lpwstr>
  </property>
  <property fmtid="{D5CDD505-2E9C-101B-9397-08002B2CF9AE}" pid="21" name="Mendeley Recent Style Name 9_1">
    <vt:lpwstr>Vancouver - Derry Nugraha Derry Nugraha</vt:lpwstr>
  </property>
  <property fmtid="{D5CDD505-2E9C-101B-9397-08002B2CF9AE}" pid="22" name="Mendeley Document_1">
    <vt:lpwstr>True</vt:lpwstr>
  </property>
  <property fmtid="{D5CDD505-2E9C-101B-9397-08002B2CF9AE}" pid="23" name="Mendeley Unique User Id_1">
    <vt:lpwstr>0ee51d29-6edc-3289-a8f7-e93c3f435415</vt:lpwstr>
  </property>
  <property fmtid="{D5CDD505-2E9C-101B-9397-08002B2CF9AE}" pid="24" name="Mendeley Citation Style_1">
    <vt:lpwstr>http://www.zotero.org/styles/apa</vt:lpwstr>
  </property>
</Properties>
</file>